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F-3673/2025 vom 28. Mai 2025</w:t>
      </w:r>
    </w:p>
    <w:p>
      <w:r>
        <w:t>Bundesverwaltungsgericht, 2025-05-28, FR</w:t>
      </w:r>
    </w:p>
    <w:p>
      <w:r>
        <w:rPr>
          <w:b/>
        </w:rPr>
        <w:t xml:space="preserve">Quelle: </w:t>
      </w:r>
      <w:r>
        <w:t>https://mcp.opencaselaw.ch/entscheid/bvger_F-3673_2025</w:t>
      </w:r>
    </w:p>
    <w:p>
      <w:r>
        <w:t>FR: TAF F-3673/2025 du 28 mai 2025</w:t>
      </w:r>
    </w:p>
    <w:p>
      <w:r>
        <w:t>IT: TAF F-3673/2025 del 28 maggio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 Par ailleurs, la procédure fondée sur le RD III se limite, en principe, à la détermination de l'Etat membre compétent pour l'examen de la demande d'asile (cf. arrêt du TAF F-4440/2023 du 23 août 2023 consid. 5.5). Partant, c'est à bon droit que le SEM n'a pas examiné plus avant les arguments du recourant ayant trait aux raisons qui l'ont amené à fuir la Turquie, respectivement l'Irak - pays dont l'intéressé a allégué avoir aussi la nationalité -, soit les motifs d'asile invoqués. Il n'appartient pas non plus au Tribunal de le faire ni dès lors de se prononcer sur la photographie produite par l'intéressé en vue d'étayer l'assassinat de son frère dans le cadre d'une vendetta familiale sur place.</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2017 VI/5 consid. 6.2 et 8.2.1 et réf. cit.).</w:t>
      </w:r>
    </w:p>
    <w:p>
      <w:r>
        <w:rPr>
          <w:b/>
        </w:rPr>
        <w:t>E. 2.3</w:t>
      </w:r>
    </w:p>
    <w:p>
      <w:r>
        <w:t>Lorsque la procédure de détermination de l'Etat responsable n'est pas close, il convient d'appliquer l'art. 20 par. 5 RD III. Cette disposition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du TAF F-2431/2022 du 14 juin 2022 consid. 5.2 s. ; arrêt de Grande Chambre de la Cour de justice de l'Union européenne [CJUE], affaires jointes C-582/17 et C-583/17 du 2 avril 2019, points 47 ss, ECLI:EU:C:2019:280).</w:t>
      </w:r>
    </w:p>
    <w:p>
      <w:r>
        <w:rPr>
          <w:b/>
        </w:rPr>
        <w:t>E. 2.4</w:t>
      </w:r>
    </w:p>
    <w:p>
      <w:r>
        <w:t>En l'occurrence, à la suite de la requête soumise par le SEM dans le délai prescrit par l'art. 23 par. 2 al. 1 RD III, les autorités croates compétentes ont, dans le délai fixé à l'art. 25 par. 1 RD III, expressément accepté de reprendre en charge l'intéressé sur la base de l'art. 20 par. 5 RD III, afin de poursuivre la procédure de détermination de l'Etat Dublin compétent.</w:t>
      </w:r>
    </w:p>
    <w:p>
      <w:r>
        <w:rPr>
          <w:b/>
        </w:rPr>
        <w:t>E. 2.5</w:t>
      </w:r>
    </w:p>
    <w:p>
      <w:r>
        <w:t>Au vu de ce qui précède et dans la mesure où aucun élément au dossier n'indique que le recourant aurait quitté le territoire des Etats membres ou aurait obtenu un titre de séjour de la part d'un autre Etat membre dans l'intervalle (art. 20 par. 5 al. 2 RD III), c'est bien la Croatie qui est responsable pour sa procédure d'asile.</w:t>
      </w:r>
    </w:p>
    <w:p>
      <w:r>
        <w:rPr>
          <w:b/>
        </w:rPr>
        <w:t>E. 3.1</w:t>
      </w:r>
    </w:p>
    <w:p>
      <w:r>
        <w:t>Il y a ensuite lieu d'examiner, en vertu de l'art. 3 par. 2 al. 2 RD III, s'il y a, tel que l'a soutenu l'intéressé, de sérieuses raisons de croire qu'il existe en Croatie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3.2</w:t>
      </w:r>
    </w:p>
    <w:p>
      <w:r>
        <w:t>Dans un arrêt de référence rendu à cinq juges et coordonné au sein des Cours IV, V et VI (E-1488/2020 du 22 mars 2023), le Tribunal est arrivé à la conclusion que les requérants transférés en Croatie sur la base du RD III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Il a dès lors dénié l'existence, dans la procédure d'asile et les conditions d'accueil en Croatie, de défaillances systémiques au sens de l'art. 3 par. 2 al. 2 et 3 RD III, qui feraient apparaître un transfert de requérants comme généralement inadmissible. Cette jurisprudence est toujours d'actualité (cf. p.ex. arrêts du TAF F-3019/2025 du 8 mai 2025 consid. 6 ; E-7137/2023 du 29 avril 2025 consid. 6.2).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w:t>
      </w:r>
    </w:p>
    <w:p>
      <w:r>
        <w:rPr>
          <w:b/>
        </w:rPr>
        <w:t>E. 3.3</w:t>
      </w:r>
    </w:p>
    <w:p>
      <w:r>
        <w:t>Par ailleurs, les arguments invoqués par le recourant quant à son refoulement en chaîne après son transfert en Croatie sont sans pertinence sur l'issue de la présente cause. En effet, dans la mesure où c'est à bon droit que le SEM a constaté que cet Etat était compétent pour mener la procédure d'asile de l'intéressé (cf. supra, consid. 2.5) et que celle-ci y était exempte de défaillances systémiques (cf. supra, consid. 3.2), il n'appartient pas aux autorités suisses de se prononcer sur la question d'une violation du principe de non-refoulement (cf. arrêt de la CJUE du 30 novembre 2023, affaires jointes C-228/21, C-254/21, C-297/21 et C-281/21, points 129 à 142 et ch. 2 du dispositif, ECLI:EU:C:2023:934).</w:t>
      </w:r>
    </w:p>
    <w:p>
      <w:r>
        <w:rPr>
          <w:b/>
        </w:rPr>
        <w:t>E. 4.1</w:t>
      </w:r>
    </w:p>
    <w:p>
      <w:r>
        <w:t>Pour s'opposer à son transfert, l'intéressé a soutenu ne pas avoir demandé l'asile en Croatie, avoir été violenté par les autorités de ce pays et y avoir subi des conditions de détention contraires à l'art. 3 CEDH (RS 0.101). Il a, en outre, invoqué une péjoration de son état de santé psychologique, marqué par les traumatismes vécus dans son pays, et un risque de concrétisation de ses idées suicidaires, en cas de transfert.</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w:t>
      </w:r>
    </w:p>
    <w:p>
      <w:r>
        <w:t>Tout d'abord, les allégués du recourant en lien avec le dépôt d'une demande d'asile contre sa volonté en Croatie tombent à faux. En effet, à teneur de l'art. 14 par. 1 du règlement (UE) no 603/2013 du Parlement européen et du Conseil du 26 juin 2013 relatif à la création d'Eurodac pour la comparaison des empreintes digitales aux fins de l'application efficace du règlement Dublin III (JO L 180/1 du 29.06.2013), les autorités croates avaient le devoir de prélever sans tarder ses empreintes digitales. Le cas échéant, le dépôt d'une demande d'asile n'est alors pas un préalable indispensable à l'application du RD III. En tout état de cause, les propos tenus par l'intéressé se limitent à de simples affirmations.</w:t>
      </w:r>
    </w:p>
    <w:p>
      <w:r>
        <w:rPr>
          <w:b/>
        </w:rPr>
        <w:t>E. 4.4</w:t>
      </w:r>
    </w:p>
    <w:p>
      <w:r>
        <w:t>Par ailleurs, s'agissant des violences perpétrées par les autorités croates et des conditions de détention auxquelles le recourant aurait été exposé, le Tribunal considère que les déclarations de celui-ci - qui ne sont étayées par aucun élément concret - ne sauraient, à elles seules, suffire à démontrer qu'il serait ou risquerait d'être soumis à des traitements inhumains ou dégradants après son transfert vers la Croatie. Dans son arrêt de référence E-1488/2020 précité (en particulier à son consid. 9.5), il a, en effet, conclu qu'il pouvait continuer à être présumé que les requérants d'asile, retournant en Croatie en vertu de l'application du RD III, avaient accès à une procédure d'asile et à des conditions d'accueil conformes aux règles européennes en la matière, en particulier à la CEDH et à la Charte UE. Dans ces conditions, l'intéressé n'est pas parvenu à établir l'existence de réels risques de traitements inhumains, au sens notamment de l'art. 3 CEDH, en cas de transfert dans ce pays, lequel a, en outre, expressément accepté sa reprise en charge.</w:t>
      </w:r>
    </w:p>
    <w:p>
      <w:r>
        <w:rPr>
          <w:b/>
        </w:rPr>
        <w:t>E. 4.5.1</w:t>
      </w:r>
    </w:p>
    <w:p>
      <w:r>
        <w:t>Quant à la situation médicale, il ressort du dossier que le recourant souffre d'un état de stress post-traumatique, pour lequel il bénéficie, depuis le mois de mars dernier, d'un suivi psychiatrique hebdomadaire et d'un traitement médicamenteux. Celui-ci est actuellement composé d'un antidépresseur - dont la dose journalière a récemment été augmentée de 50 à 100 mg - et d'un neuroleptique à libération prolongée. Ce même médicament neuroleptique, sous sa forme standard, a également été prescrit en cas d'agitation ou d'insomnie. Selon le dernier document médical à disposition, l'intéressé continue néanmoins de présenter des idées suicidaires (cf. rapport F2 du 13 mai 2025, pièce SEM 35 ; rapport F2 du 6 mai 2025, pièce SEM 30 ; protocole du 6 mai 2025 annexé au recours ; ordonnance du 17 avril 2025, pièce SEM 28).</w:t>
      </w:r>
    </w:p>
    <w:p>
      <w:r>
        <w:rPr>
          <w:b/>
        </w:rPr>
        <w:t>E. 4.5.2</w:t>
      </w:r>
    </w:p>
    <w:p>
      <w:r>
        <w:t>Sans minimiser l'état de santé psychique du recourant, le Tribunal retient que rien ne permet d'inférer que celui-ci ne serait pas apte à voyager ou que son transfert vers la Croatie représenterait un danger concret pour sa santé. Comme indiqué dans la décision litigieuse, l'aptitude au voyage devra cependant encore être évaluée avec soin lors de l'organisation du transfert. A propos des idéations suicidaires qui persistent malgré le traitement médicamenteux prescrit, il est rappelé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F-461/2025 du 13 février 2025 consid. 7.3.2 et jurisp. cit.). Cela dit, il appartiendra aux autorités d'exécution du transfert de vérifier, puis, au besoin, de mettre en place les mesures d'accompagnement qu'impose l'état de santé du recourant, de manière à prévenir, le cas échéant, tout acte d'auto-agression de sa part, et aux thérapeutes qui le suivent de le préparer à la perspective de ce départ. Dans ce contexte, le SEM est enjoint à communiquer - tel qu'il l'a du reste prévu dans son document relatif aux modalités du transfert (cf. pièce SEM 31) - aux autorités croates, avant l'exécution de cette mesure, les problèmes de santé de l'intéressé en application des art. 31 et 32 RD III, afin que celui-ci puisse être pris en charge de manière adéquate dès son arrivée sur place. Au regard des circonstances concrètes particulières, l'autorité intimée veillera ainsi à ce que les mesures d'accompagnement nécessaires soient mises en place en vue de l'exécution du transfert (cf. arrêt du Tribunal fédéral 2C_221/2020 du 19 juin 2020 consid. 2 ; arrêt du TAF F-5283/2023 du 4 octobre 2023).</w:t>
      </w:r>
    </w:p>
    <w:p>
      <w:r>
        <w:rPr>
          <w:b/>
        </w:rPr>
        <w:t>E. 4.5.3</w:t>
      </w:r>
    </w:p>
    <w:p>
      <w:r>
        <w:t>Cela étant précisé, il y a lieu d'admettre que tant le suivi que l'encadrement médical du recourant pourront être pris en charge en Croatie. En effet, ce pays, qui est lié par la directive Accueil (référence complète : directive no 2013/33/UE du Parlement européen et du Conseil du 26 juin 2013 établissant des normes pour l'accueil des personnes demandant la protection internationale [refonte ; JO L 180 du 29.06.2013]), dispose de structures médicales suffisantes (cf. p.ex. arrêts du TAF F-3019/2025 précité consid. 7.6 ; F-2973/2025 du 1er mai 2025 consid. 5.2)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4.5.4</w:t>
      </w:r>
    </w:p>
    <w:p>
      <w:r>
        <w:t>Dans ces circonstances, il n'appert pas que le recourant souffre de problèmes de santé d'une gravité telle que l'exécution de son transfert vers la Croatie serait illicite au sens restrictif de la jurisprudence constante (cf. arrêts de Grande Chambre de la Cour européenne des droits de l'homme Savran c. Danemark du 7 décembre 2021, requête no 57467/15, par. 122 à 139 ; Paposhvili c. Belgique du 13 décembre 2016, requête no 41738/10 ; ATAF 2017 VI/7 consid. 6.2).</w:t>
      </w:r>
    </w:p>
    <w:p>
      <w:r>
        <w:rPr>
          <w:b/>
        </w:rPr>
        <w:t>E. 4.6</w:t>
      </w:r>
    </w:p>
    <w:p>
      <w:r>
        <w:t>Il s'ensuit que le transfert de l'intéressé en Croatie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5</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la requête formulée dans le recours tendant à l'octroi de l'effet suspensif est sans objet. En outre, le litige prenant fin, les mesures superprovisionnelles prononcées le 21 mai 2025 sont caduques.</w:t>
      </w:r>
    </w:p>
    <w:p>
      <w:r>
        <w:rPr>
          <w:b/>
        </w:rPr>
        <w:t>E. 7</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