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F-3673/2020 vom 25. November 2021</w:t>
      </w:r>
    </w:p>
    <w:p>
      <w:r>
        <w:t>Bundesverwaltungsgericht, 2021-11-25, DE</w:t>
      </w:r>
    </w:p>
    <w:p>
      <w:r>
        <w:rPr>
          <w:b/>
        </w:rPr>
        <w:t xml:space="preserve">Quelle: </w:t>
      </w:r>
      <w:r>
        <w:t>https://mcp.opencaselaw.ch/entscheid/bvger_F-3673_2020</w:t>
      </w:r>
    </w:p>
    <w:p>
      <w:r>
        <w:t>FR: TAF F-3673/2020 du 25 novembre 2021</w:t>
      </w:r>
    </w:p>
    <w:p>
      <w:r>
        <w:t>IT: TAF F-3673/2020 del 25 novembre 2021</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Beschwerdeführerin ist Rumänin und damit Staatsangehörige einer Vertragspartei des Abkommen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AIG und seinen Ausführungsverordnungen - nur insoweit anwendbar, als das FZA keine abweichenden Bestimmungen enthält oder die Bestimmungen des ordentlichen Ausländerrechts günstiger sind.</w:t>
      </w:r>
    </w:p>
    <w:p>
      <w:r>
        <w:rPr>
          <w:b/>
        </w:rPr>
        <w:t>E. 4.1</w:t>
      </w:r>
    </w:p>
    <w:p>
      <w:r>
        <w:t>Das SEM verfügt Einreiseverbote gegenüber weggewiesenen Ausländerinnen und Ausländern, wenn die Wegweisung nach Art. 64d Abs. 2 Bst. a-c AIG sofort vollstreckt wird (Art. 67 Abs. 1 Bst. a AIG) oder die betroffene Person der Ausreiseverpflichtung innert Frist nicht nachgekommen ist (Art. 67 Abs. 1 Bst. b AIG). Es kann sodann gestützt auf Art. 67 Abs. 2 Bst. a-c AIG gegenüber ausländischen Personen Einreiseverbote erlassen, die gegen die öffentliche Sicherheit und Ordnung in der Schweiz oder im Ausland verstossen haben oder diese gefährden (Bst. a).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4.2</w:t>
      </w:r>
    </w:p>
    <w:p>
      <w:r>
        <w:t>Das in Art. 67 AIG geregelte Einreiseverbot stellt keine Sanktion für vergangenes Fehlverhalten dar, sondern eine Massnahme zur Abwendung einer künftigen Störung der öffentlichen Sicherheit und Ordnung (vgl. Botschaft zum Bundesgesetz über die Ausländerinnen und Ausländer vom 8. März 2002,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über Zulassung, Aufenthalt und Erwerbstätigkeit vom 24. Oktober 2007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BVGE 2017 VII/2 E. 4.4).</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Sicherheit und Ordnung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6.1</w:t>
      </w:r>
    </w:p>
    <w:p>
      <w:r>
        <w:t>Die Vorinstanz begründete das zweijährige Einreiseverbot in der angefochtenen Verfügung wie folgt: Die Beschwerdeführerin habe wegen mehrfachen Ladendiebstahls von der Polizei zur Anzeige gebracht werden müssen. Die zuständige Behörde habe die Beschwerdeführerin gestützt auf Art. 64d Abs. 2 AIG weggewiesen, so dass die Wegweisung sofort zu vollstrecken gewesen sei. Es sei daher gestützt auf Art. 67 Abs. 1 Bst. a eine Fernhaltemassnahme anzuordnen. Das Verhalten der Beschwerdeführerin stelle einen Verstoss gegen die Gesetzgebung dar, womit auch ein Verstoss gegen die öffentliche Sicherheit und Ordnung vorliege (Art. 67 Abs. 2 Bst. a AIG i.V.m. Art. Art. 80 Abs. 1 Bst. a und Art. 80 Abs. 2 VZAE; recte: Art. 77a Abs. 1 Bst. a und Art. 77a Abs. 2 VZAE). Ihr Verhalten stelle ferner eine hinreichend schwere Gefährdung der Grundinteressen der Gemeinschaft dar, was die Massnahme im Lichte des Freizügigkeitsabkommens rechtfertige (Art. 5 Anhang 1 FZA). Es bestehe daher kein Recht auf Freizügigkeit mehr.</w:t>
      </w:r>
    </w:p>
    <w:p>
      <w:r>
        <w:rPr>
          <w:b/>
        </w:rPr>
        <w:t>E. 6.2</w:t>
      </w:r>
    </w:p>
    <w:p>
      <w:r>
        <w:t>In ihrer Vernehmlassung führte die Vorinstanz ergänzend aus, gemäss Einvernahmeprotokoll habe die Beschwerdeführerin mehrfach Kleidungsstücke von einem erheblichen Warenwert entwendet. Zudem müsse von einem bandenmässigen Vorgehen ausgegangen werden. Mit ihrem deliktischen Verhalten habe die Beschwerdeführerin gegen die öffentliche Sicherheit und Ordnung verstossen (Art. 67 Abs. 2 Bst. a AIG). Aufgrund der bandenmässigen und mehrfachen Tatbegehung sei von einer erheblichen Wiederholungsgefahr auszugehen. Dies gelte umso mehr, als aufgrund der konkreten Umstände - mehrfache bandenmässige Tatbegehung, erheblicher Wert der gestohlenen Ware, bei der Begleiterin vorgefundene Spezialutensilien für den Ladendiebstahl (Magnete, Seitenschneider) - entgegen der Darstellung der Beschwerdeführerin von einer gezielten, planmässigen Tatbegehung auszugehen sei. Das Verhalten der Beschwerdeführerin stelle in dieser Form eine hinreichend schwere Gefährdung der Grundinteressen der Gemeinschaft dar und die Massnahme halte vor Art. 5 Anhang 1 FZA stand.</w:t>
      </w:r>
    </w:p>
    <w:p>
      <w:r>
        <w:rPr>
          <w:b/>
        </w:rPr>
        <w:t>E. 6.3</w:t>
      </w:r>
    </w:p>
    <w:p>
      <w:r>
        <w:t>Die Beschwerdeführerin betonte in ihrer Rechtsmitteleingabe, dass sie ihre Tat zutiefst bereue. Wie sie bereits gegenüber der Kantonspolizei (...) zum Ausdruck gebracht habe, könne sie sich den Grund für ihre Tat selbst nicht erklären. In Grossbritannien, wo sie lebe, habe sie eine gut bezahlte Arbeitsstelle und verfüge über genügend finanzielle Mittel. Sie habe aus dem Geschehenen gelernt und sei sich sicher, dass sie so eine Tat nie wieder begehen werde. Sie besuche die Schweiz seit mehreren Jahren, verbringe hier die Ferien und ihre Freizeit, liebe das Land und die Menschen. Ausserdem habe sie hier Freundschaften geschlossen, die ihr sehr wichtig seien. Sie versichere, dass von ihr keine Gefahr für die öffentliche Sicherheit und Ordnung der Schweiz ausgehe. Sie möchte daher darum bitten, das Einreiseverbot zu überprüfen und, wenn es möglich sei, zu reduzieren. Ihr liege die Schweiz sehr am Herzen, und es werde sie sehr treffen, sollte sie während der verfügten Massnahmedauer die Schweiz nicht mehr besuchen dürfen.</w:t>
      </w:r>
    </w:p>
    <w:p>
      <w:r>
        <w:rPr>
          <w:b/>
        </w:rPr>
        <w:t>E. 7.1</w:t>
      </w:r>
    </w:p>
    <w:p>
      <w:r>
        <w:t>Wie bereits erwähnt verurteilte die Staatsanwaltschaft B._______ die geständige Beschwerdeführerin mit Strafbefehl vom 7. Oktober 2020 wegen Diebstahls im Sinne von Art. 139 Ziff. 1 StGB zu einer bedingten Geldstrafe von 60 Tagessätzen bei einer Probezeit von zwei Jahren und einer Busse von Fr. 1'000.-. Die Deliktsumme betrug nach Darstellung der Staatsanwaltschaft Fr. 1'117.35. Damit liegt zweifellos ein Fehlverhalten vor, das als Verstoss gegen die öffentliche Sicherheit und Ordnung gemäss Art. 67 Abs. 2 Bst. a AIG mit einem Einreiseverbot geahndet werden kann. Die einmalige Verurteilung genügt jedoch für sich allein nicht, um die verhängte Massnahme vor dem Freizügigkeitsabkommen bestehen zu lassen; vielmehr muss dargetan werden, dass von der Beschwerdeführerin gegenwärtig eine konkrete Gefahr ausgeht, die hinreichend schwer ist und ein Grundinteresse der Gesellschaft berührt (vgl. Urteile des BVGer F-1771/2020 vom 6. Juli 2020 E. 7.3; F-5050/2018 vom 23. Mai 2019 E. 7.3; Ziff. 10.4.1 der Weisungen und Erläuterungen des SEM zur Verordnung über den freien Personenverkehr [Weisungen VFP; Stand: Januar 2021], www.sem.admin.ch &gt; Publikationen und Service &gt; Weisungen und Kreisschreiben &gt; Freizügigkeitsabkommen &gt; Weisung VFP).</w:t>
      </w:r>
    </w:p>
    <w:p>
      <w:r>
        <w:rPr>
          <w:b/>
        </w:rPr>
        <w:t>E. 7.2</w:t>
      </w:r>
    </w:p>
    <w:p>
      <w:r>
        <w:t>Die Beschwerdeführerin wurde in der Schweiz einzig wegen eines einmaligen Ladendiebstahls am 16. Juli 2020 angezeigt. Auch dem Strafbefehl vom 7. Oktober 2020 liegt nur diese Straftat zugrunde. Wohl hat die Beschwerdeführerin weitere Ladendiebstähle eingeräumt. Soweit erkennbar hatte das Eingeständnis aber keine strafrechtlichen Weiterungen zur Folge. Auch sonst ist nichts aktenkundig, was freiheitsbeschränkende Massnahmen nach sich ziehen könnte. Infolgedessen lässt sich das Vorliegen einer relevanten Gefahr nicht mit der «mehrfachen» Tatbegehung begründen. Gleich verhält es sich mit der der Beschwerdeführerin von der Vorinstanz vorgeworfenen «bandenmässigen» Tatbegehung. Zwar trifft es zu, dass die Beschwerdeführerin am 16. Juli 2020 mit einer Begleiterin angehalten und bei letzterer Utensilien aufgefunden wurden, die bei Ladendiebstählen Verwendung finden können (Magnete und ein Drahtschneider [AG-act. 46 f. Frage 34 bis 36]). Indessen hat die Staatsanwaltschaft B._______ das Verfahren gegen die Begleiterin eingestellt. Den Akten kann nichts entnommen werden, was ein Abweichen von der Bewertung durch die Staatsanwaltschaft rechtfertigen könnte. Zu Lasten der Beschwerdeführerin spricht immerhin der vergleichsweise hohe Deliktsbetrag von Fr. 1'117.35.</w:t>
      </w:r>
    </w:p>
    <w:p>
      <w:r>
        <w:rPr>
          <w:b/>
        </w:rPr>
        <w:t>E. 7.3</w:t>
      </w:r>
    </w:p>
    <w:p>
      <w:r>
        <w:t>Was der Beschwerdeführerin vorgehalten werden kann, ist gleichwohl allein ein einmaliger einfacher Ladendiebstahl ohne qualifizierende Tatbestandselemente. Das vergleichsweise geringe strafrechtliche Verschulden der Beschwerdeführerin findet seinen Ausdruck in einer Strafe, die mit 90 Tagessätzen am unteren Ende des bis 5 Jahre Freiheitsstrafe reichenden gesetzlichen Strafrahmens angesiedelt ist. Da sich die Straftat als Vermögensdelikt zudem nicht gegen ein höchstwertiges Rechtsgut wie Leib, Leben und sexuelle Integrität richtete, sind an die Gefahr weiterer Rechtsgutsverletzungen hohe Anforderungen zu stellen (vgl. dazu etwa BGE 131 II 352 E. 4 im Gegensatz zu Urteil des BGer 2C_92/2014 vom 22. August 2014 E. 4). Diese sind nach Auffassung des Bundesverwaltungsgerichts in der vorliegenden Streitsache klarerweise nicht erfüllt: Die Beschwerdeführerin ist - soweit dem Bundesverwaltungsgericht bekannt - nicht vorbestraft und lebt nach eigener Aussage mit einer Aufenthaltsbewilligung in geregelten Verhältnissen in Grossbritannien, wo sie einer Erwerbstätigkeit nachgeht (AG-act. 4, 10 und 11). Sie zeigte sich im Strafverfahren (wie auch im Rahmen des vorliegenden Verfahrens) einsichtig und reuig. Dementsprechend stellte ihr der Strafbefehlsrichter eine gute Legalprognose aus, was im Massnahmenrecht zwar nicht entscheidend, im Rahmen einer gesamthaften Beurteilung aber gleichwohl zu berücksichtigen ist.</w:t>
      </w:r>
    </w:p>
    <w:p>
      <w:r>
        <w:rPr>
          <w:b/>
        </w:rPr>
        <w:t>E. 7.4</w:t>
      </w:r>
    </w:p>
    <w:p>
      <w:r>
        <w:t>Des Weiteren ist festzuhalten, dass Art. 67 Abs. 1 Bst. a AIG, der unmittelbar an die Verhängung einer sofort vollstreckbaren Wegweisung anknüpft und als Regelrechtsfolge ein Einreiseverbot vorsieht, gegenüber freizügigkeitsberechtigten Personen von vornherein nicht als eigenständiger Fernhaltegrund zur Anwendung gelangen kann. Denn die Anordnung einer sofort vollstreckbaren Wegweisung ist nicht gleichbedeutend mit einer tatsächlichen, gegenwärtigen und hinreichenden Gefährdung, die ein Grundinteresse der Gesellschaft berührt, wie es Art. 5 Abs. 1 Anhang I FZA für freizügigkeitsbeschränkende Massnahmen verlangt.</w:t>
      </w:r>
    </w:p>
    <w:p>
      <w:r>
        <w:rPr>
          <w:b/>
        </w:rPr>
        <w:t>E. 7.5</w:t>
      </w:r>
    </w:p>
    <w:p>
      <w:r>
        <w:t>Das Bundesverwaltungsgericht gelangt daher zum Schluss, dass das Verhalten der Beschwerdeführerin keine hinreichende Gefährdung der öffentlichen Ordnung begründet, welche die Grundinteressen der Gesellschaft berührt. Das gegen die Beschwerdeführerin verhängte Einreiseverbot hält somit vor dem Freizügigkeitsabkommen nicht stand.</w:t>
      </w:r>
    </w:p>
    <w:p>
      <w:r>
        <w:rPr>
          <w:b/>
        </w:rPr>
        <w:t>E. 8</w:t>
      </w:r>
    </w:p>
    <w:p>
      <w:r>
        <w:t>Aus diesen Erwägungen ergibt sich, dass die angefochtene Verfügung bundesrechtswidrig ist (Art. 49 Bst. a VwVG). Die Beschwerde ist daher gutzuheissen, und die angefochtene Verfügung ist aufzuheben.</w:t>
      </w:r>
    </w:p>
    <w:p>
      <w:r>
        <w:rPr>
          <w:b/>
        </w:rPr>
        <w:t>E. 9</w:t>
      </w:r>
    </w:p>
    <w:p>
      <w:r>
        <w:t>Bei diesem Ausgang des Verfahrens sind weder der Beschwerdeführerin noch der Vorinstanz Kosten aufzuerlegen (Art. 63 Abs. 1 und 2 VwVG). Eine Parteientschädigung ist nicht zuzusprechen, da der nicht anwaltlich vertretenen Beschwerdeführerin offensichtlich keine verhältnismässig hohen Kosten erwachsen sind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