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F-3672/2020 vom 28. Januar 2022</w:t>
      </w:r>
    </w:p>
    <w:p>
      <w:r>
        <w:t>Bundesverwaltungsgericht, 2022-01-28, FR</w:t>
      </w:r>
    </w:p>
    <w:p>
      <w:r>
        <w:rPr>
          <w:b/>
        </w:rPr>
        <w:t xml:space="preserve">Quelle: </w:t>
      </w:r>
      <w:r>
        <w:t>https://mcp.opencaselaw.ch/entscheid/bvger_F-3672_2020</w:t>
      </w:r>
    </w:p>
    <w:p>
      <w:r>
        <w:t>FR: TAF F-3672/2020 du 28 janvier 2022</w:t>
      </w:r>
    </w:p>
    <w:p>
      <w:r>
        <w:t>IT: TAF F-3672/2020 del 28 gennaio 2022</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réexamen d'une décision de refus d'approbation à la prolongation d'une autorisation de séjour suite à la dissolution de la famille prononcées par le SEM - lequel constitue une unité de l'administration fédérale telle que définie à l'art. 33 let. d LTAF - sont susceptibles de recours au Tribunal, qui statue comme autorité précédant le Tribunal fédéral (ci-après :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X._______, qui a participé à la fois à la procédure ordinaire et à la procédure de réexamen devant l'autorité inférieure, est spécialement atteinte par la décision querellée et a un intérêt digne de protection à sa modification. Elle a qualité pour recourir (cf. art. 48 al. 1 PA). Présenté dans la forme et les délais prescrits par la loi, le recours est recevable (art. 50 al. 1 et art. 52 al. 1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S'agissant de l'application du droit dans le temps, les demandes de réexamen déposées après l'entrée en vigueur de la LEI (RO 2018 3171), soit le 1er janvier 2019, sont régies par le nouveau droit (cf. arrêts du TAF F-4948/2020 du 1er novembre 2021 consid. 4, F-1492/2016 du 28 septembre 2016 consid. 5.2 et C-2493/2012 du 7 octobre 2013 consid. 1.2), quand bien même la décision initiale dont le réexamen est demandé a été rendue sous l'empire de l'ancienne législation. En l'occurrence, la décision visée par la demande de réexamen est celle qui a été prononcée par l'autorité inférieure le 27 avril 2017, soit avant l'entrée en vigueur du nouveau droit. Etant donné que la demande de réexamen a été déposée par l'intéressée le 28 mai 2020, la LEI - en tant que de besoin - est applicable.</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arrêts du TAF F-564/2020 du 27 octobre 2021 consid. 3.1, F-7048/2018 du 20 octobre 2020 consid. 3.1 et F-1653/2019 du 12 décembre 2019 consid. 4.1.1 ; sur la distinction entre la révision et le réexamen lorsque la cause a fait l'objet d'une décision matérielle sur recours, voir également arrêt du TAF F-2581/2017 du 3 septembre 2018 consid. 3.1).</w:t>
      </w:r>
    </w:p>
    <w:p>
      <w:r>
        <w:rPr>
          <w:b/>
        </w:rPr>
        <w:t>E. 4.2</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art. 66 al. 2 let. a et al. 3 PA; cf. également, a contrario, l'art. 123 al. 2 let. a LTF, applicable par renvoi de l'art. 45 LTAF; sur les notions de réexamen et de révision, cf. ATF 143 III 272 consid. 2.2 et 2.3, 138 I 61 consid. 4.3 et 136 II 177 consid. 2.1 et 2.2.1 ; ATAF 2019 I/8 consid. 4.2.4.1 et arrêt du TAF F1653/2019 du 12 décembre 2019 consid. 4.1.2).</w:t>
      </w:r>
    </w:p>
    <w:p>
      <w:r>
        <w:rPr>
          <w:b/>
        </w:rPr>
        <w:t>E. 4.3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favorable à la personne concernée (cf. ATF 144 V 258 consid. 2.1, 144 V 245 consid. 5.2 et 143 III 272 consid. 2.2). Un changement de législation peut aussi fonder le réexamen d'une décision, à condition que l'état de fait déterminant se soit essentiellement modifié après le changement législatif (cf. ATF 136 II 177 consid. 2.2.1).</w:t>
      </w:r>
    </w:p>
    <w:p>
      <w:r>
        <w:rPr>
          <w:b/>
        </w:rPr>
        <w:t>E. 4.4</w:t>
      </w:r>
    </w:p>
    <w:p>
      <w:r>
        <w:t>Le réexamen (ou la révision)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(cf. ATF 145 IV 197 consid. 1.1, 136 II 177 consid. 2.1, 130 IV 72 consid. 2.2 et 109 Ib 246 consid. 4a); elle ne permet donc pas de faire valoir des faits ou des moyens de preuve qui auraient pu et dû être invoqués dans le cadre de la procédure ordinaire en faisant preuve de la diligence requise, autrement dit à introduire des faits non présentés en procédure ordinaire en raison d'une négligence procédurale (cf. art. 66 al. 3 PA; ATF 145 IV 197 consid. 1.1, 144 V 258 consid. 2.1, 144 V 245 consid. 5.2, 143 III 272 consid. 2.2 et 2.3 et 130 IV 72 consid. 2.2).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La procédure de réexamen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137 IV 59 consid. 5.1.1 et 98 Ia 568 consid. 5b). Le droit des étrangers n'échappe pas à cette règle (cf. notamment arrêts du TF 2C_225/2014 du 20 mars 2014 consid. 5.1 et 2C_908/2013 du 11 novembre 2013 consid. 2.1). C'est à la partie requérante qu'incombe le devoir de substantification (cf. arrêt du TAF F-7048/2018 20 octobre 2020 consid. 3.4). Ainsi, elle ne peut se borner à alléguer un fait nouveau ou un changement de circonstances, mais il lui appartient de le rendre à tout le moins vraisemblable et de produire des moyens de preuves aptes à le démontrer (cf. arrêts du TF 2C_393/2019 du 18 septembre 2019 consid. 3.2 et 2C_883/2018 du 21 mars 2019 consid. 4.3).</w:t>
      </w:r>
    </w:p>
    <w:p>
      <w:r>
        <w:rPr>
          <w:b/>
        </w:rPr>
        <w:t>E. 5</w:t>
      </w:r>
    </w:p>
    <w:p>
      <w:r>
        <w:t>S'agissant des demandes de réexamen faisant suite à une décision de rejet en application de l'art. 50 LEtr/LEI, il convient également de tenir compte des éléments qui suivent. Selon une jurisprudence constante, au moment de la prise de décision selon l'art. 50 LEtr/LEI, les critères retenus pour un cas de rigueur au sens de l'art. 30 LEtr/LEI sont en principe pris en compte dans l'examen des raisons personnelles majeures au sens de l'art. 50 LEtr/LEI, qui sont elles-mêmes étroitement liées à la dissolution de l'union conjugale (cf. ATF 143 I 21 consid. 4.2.1). Par contre, plus on s'éloigne des circonstances ayant entouré la dissolution de l'union conjugale, plus le lien nécessaire relatif au mariage dissout (« erforderlicher Bezug zur aufgelösten Ehe », cf. ATF 138 II 393, consid. 3.1, 137 II 345 consid. 3.2.3 ; arrêt du TF 2C_467/2012 consid. 2.2.) fera défaut, moins le cas de rigueur au sens de l'art. 30 LEtr/LEI, susceptible d'être invoqué par une personne au vu d'une situation personnelle difficile, sera compris dans les raisons personnelles majeures au sens de l'art. 50 LEtr/LEI. Une demande de réexamen d'une décision de non-approbation à la prolongation d'une autorisation de séjour au sens de l'art. 50 LEtr/LEI suppose donc que les motifs invoqués se trouvent dans une connexité temporelle et matérielle étroite avec la situation résultant directement d'une dissolution de l'union conjugale (cf. ATAF 2017 VII/7 consid. 5.3 et 5.5 et arrêt du TAF F-2811/2017 du 20 août 2018 consid. 4.2). Si une telle demande de réexamen est acceptée, cela n'implique pas la renaissance de l'autorisation caduque à savoir celle dont disposait l'intéressé auparavant , mais bien la naissance d'une nouvelle autorisation de séjour, octroyée au motif que les conditions du réexamen sont remplies au moment où la demande a été formulée. On ne se trouve donc pas dans une situation de réexamen au sens propre du terme (cf. arrêts du TF 2C_689/2016 du 30 novembre 2016 consid. 4.2, 2C_1224/2013 du 12 décembre 2014 consid. 4.2 et 2C_876/2013 du 18 novembre 2013 consid. 3.1 et 3.7 ; arrêt du TAF F-1275/2014 du 30 août 2017 consid. 5.5.4 non publié in ATAF 2017 VII/7 et arrêt du TAF F-1847/2020 du 30 juin 2020 consid. 6.1 ; cf. également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pp. 123).</w:t>
      </w:r>
    </w:p>
    <w:p>
      <w:r>
        <w:rPr>
          <w:b/>
        </w:rPr>
        <w:t>E. 6.1</w:t>
      </w:r>
    </w:p>
    <w:p>
      <w:r>
        <w:t>En l'occurrence, le SEM a traité la requête du 28 mai 2020, qui lui a été transmise par l'OCPM, en tant que demande de réexamen de sa décision du 27 avril 2017, par laquelle il avait refusé de donner son approbation à la prolongation de l'autorisation de séjour de l'intéressée ensuite de la rupture de son union conjugale.</w:t>
      </w:r>
    </w:p>
    <w:p>
      <w:r>
        <w:rPr>
          <w:b/>
        </w:rPr>
        <w:t>E. 6.2</w:t>
      </w:r>
    </w:p>
    <w:p>
      <w:r>
        <w:t>Il s'avère que dans sa requête du mois de mai 2020, l'intéressée a principalement fait valoir, en tant qu'élément nouveau, une détérioration de son état de santé en lien avec ses crises de type épileptique, ayant entraîné une incapacité de travail. Or, dans sa décision du 27 avril 2017, le SEM a notamment pris en considération plusieurs rapports médicaux versés en cause ; tant le TAF que le TF ont, durant la procédure de recours, également examiné les atteintes à la santé documentées par l'intéressée (cf. l'arrêt du TAF du 23 septembre 2019, rendu en la cause F-2807/2017 [consid. 10.1.2.1 et 10.4] et l'arrêt du TF du 25 février 2020, rendu en la cause 2C_919/2019 [consid. 5.3.2 et 6]). De plus, trois mois seulement se sont écoulés entre l'arrêt du TF confirmant l'arrêt du TAF du 23 septembre 2019 et le dépôt de la requête de l'intéressée auprès des autorités cantonales, tendant au réexamen de sa situation.</w:t>
      </w:r>
    </w:p>
    <w:p>
      <w:r>
        <w:rPr>
          <w:b/>
        </w:rPr>
        <w:t>E. 6.3</w:t>
      </w:r>
    </w:p>
    <w:p>
      <w:r>
        <w:t>Ainsi, les motifs invoqués par l'intéressée à l'appui de sa demande se trouvent dans une relation étroite (temporelle et matérielle) avec la situation résultant de la dissolution de son union, de sorte que c'est à raison que l'autorité inférieure a considéré ladite requête comme une demande de réexamen (cf. ATAF 2017 VII/7 consid. 5.5.3 et 5.6).</w:t>
      </w:r>
    </w:p>
    <w:p>
      <w:r>
        <w:rPr>
          <w:b/>
        </w:rPr>
        <w:t>E. 7</w:t>
      </w:r>
    </w:p>
    <w:p>
      <w:r>
        <w:t>Il convient ainsi d'examiner si les circonstances de la cause se sont modifiées de manière notable et seraient susceptibles d'entraîner le réexamen de la décision de refus d'approbation rendue par l'autorité inférieure le 27 avril 2017.</w:t>
      </w:r>
    </w:p>
    <w:p>
      <w:r>
        <w:rPr>
          <w:b/>
        </w:rPr>
        <w:t>E. 7.1</w:t>
      </w:r>
    </w:p>
    <w:p>
      <w:r>
        <w:t>A l'appui de sa demande de réexamen et au cours de l'échange d'écritures qui s'en est suivi, l'intéressée a produit en particulier une quinzaine de certificats et rapports médicaux. Ces documents ont été établis entre le 28 novembre 2019 et le 13 août 2021, soit postérieurement à l'arrêt du Tribunal du 23 septembre 2019, rendu en la cause F-2807/2017(étant ici rappelé que le Tribunal fédéral, dans son arrêt du 25 février 2020, rendu en la cause 2C_919/2019, n'a pas pu tenir compte de vrais novas [ATF 143 V 19 consid. 1.2]), et sont donc pertinents dans le cadre d'une procédure de réexamen respectivement de recours contre une décision de rejet d'une demande de réexamen (cf. supra, consid. 4.4).</w:t>
      </w:r>
    </w:p>
    <w:p>
      <w:r>
        <w:rPr>
          <w:b/>
        </w:rPr>
        <w:t>E. 7.2</w:t>
      </w:r>
    </w:p>
    <w:p>
      <w:r>
        <w:t>Cela étant, le Tribunal relève d'emblée que la plupart des diagnostics posés et des traitements prescrits, tels qu'ils ressortent de ces pièces, s'appuient sur des anamnèses (somatiques et psychiques) établies durant la procédure ordinaire et reprennent en grande partie le contenu des pièces médicales produites à l'époque (notamment en lien avec des crises convulsives et des épisodes de perte de connaissance), dont les autorités fédérales ont déjà dûment tenu compte (cf. décision du SEM du 27 avril 2017, pp. 2, 3, 6, 7 et 8 ainsi qu'arrêt du Tribunal du 23 septembre 2019, rendu en la cause F-2807/2017, partie Faits [let. A.d, A.e et H] et consid. 10.1.2, 10.1.2.1 et 10.4. Voir également supra, partie Faits, lettres A.c et A.d). Les pathologies de la recourante étaient ainsi connues durant la procédure ordinaire et la plupart des documents médicaux produits durant la procédure de réexamen apportent certes des précisions ainsi qu'un meilleur éclairage sur son état de santé, mais n'établissent pas que celui-ci se serait foncièrement dégradé (cf. en ce sens arrêt du TAF E-3259/2019 du 8 octobre 2019 consid. 5.2). Ainsi, par exemple, il ressort des rapports médicaux établis par [nom de l'hôpital], les 30 août et 15 septembre 2020, que le traitement prescrit à l'intéressée (Trileptal) contre ses crises convulsives n'est plus administré, en raison d'importants effets secondaires.</w:t>
      </w:r>
    </w:p>
    <w:p>
      <w:r>
        <w:rPr>
          <w:b/>
        </w:rPr>
        <w:t>E. 7.3.1</w:t>
      </w:r>
    </w:p>
    <w:p>
      <w:r>
        <w:t>Les seuls éléments médicaux nouveaux, susceptibles de remettre en cause l'analyse effectuée durant la précédente procédure, seraient le malaise, la perte de connaissance et le traumatisme crânien endurés par l'intéressée le 28 novembre 2019 (cf. rapports médicaux de [nom de l'hôpital] des 2 et 12 décembre 2019), ainsi que l'incapacité totale de travail qui s'en est suivie entre les mois de novembre 2019 et mai 2020 (cf. certificats médicaux des 28 novembre 2019, 8 janvier 2020, 6 février 2020, 2 mars 2020, 29 avril 2020, 30 avril 2020 et 25 mai 2020).</w:t>
      </w:r>
    </w:p>
    <w:p>
      <w:r>
        <w:rPr>
          <w:b/>
        </w:rPr>
        <w:t>E. 7.3.2</w:t>
      </w:r>
    </w:p>
    <w:p>
      <w:r>
        <w:t>Le Tribunal relève néanmoins qu'aucune pièce médicale n'a été versée au dossier, s'agissant d'une éventuelle prolongation de l'incapacité de travail de la recourante au-delà du printemps 2020. De plus, rien n'indique que celle-ci aurait entrepris, durant l'année 2020, des démarches en vue de percevoir des prestations de l'assurance-invalidité. Bien au contraire, il ressort de ses observations du 29 novembre 2021 et des pièces fournies (extraits de comptes bancaires et documents fiscaux) que l'intéressée peut à nouveau subvenir à ses besoins en Suisse, grâce à son activité professionnelle indépendante ([...]).</w:t>
      </w:r>
    </w:p>
    <w:p>
      <w:r>
        <w:rPr>
          <w:b/>
        </w:rPr>
        <w:t>E. 7.3.3</w:t>
      </w:r>
    </w:p>
    <w:p>
      <w:r>
        <w:t>S'agissant des arguments en lien avec les difficultés d'accès au régime marocain d'assistance médicale pour personnes démunies (RAMED), auxquelles serait confrontée la recourante en cas de retour dans son pays d'origine (cf. recours du 20 juillet 2020 et observations des10 décembre 2020, 8 mars 2021 et 29 novembre 2021), ils tombent à faux, à supposer même qu'ils soient encore pertinents. En effet, le Tribunal a déjà reconnu les possibilités de prise en charge de (psycho)thérapies au Maroc par le système RAMED respectivement par le Fonds d'entraide familiale (cf. notamment arrêts du TAF E-2592/2021 du 9 juin 2021 consid. 9.3.4 et F-3183/2017 du 4 avril 2019 consid. 9.2.4 et 13.4 ; cf. en outre Moustatraf/Taoufik, Réguler l'aide médicale des pays à revenu intermédiaire : le cas du Maroc, in Santé publique, 2019/1 vol. 31, pp. 103 ss). Au surplus, le Tribunal, dans son arrêt du 23 septembre 2019, rendu en la cause F-2807/2017, a déjà souligné qu'il n'avait pas été démontré que la recourante n'aurait pas accès, au Maroc, aux thérapies et médicaments dont elle aurait besoin pour le traitement de ses problèmes de santé (consid. 10.4).</w:t>
      </w:r>
    </w:p>
    <w:p>
      <w:r>
        <w:rPr>
          <w:b/>
        </w:rPr>
        <w:t>E. 7.3.4</w:t>
      </w:r>
    </w:p>
    <w:p>
      <w:r>
        <w:t>La situation médicale de la recourante ne s'est ainsi pas durablement dégradée au point d'entraîner, en sa faveur, une nouvelle appréciation de ses conditions de séjour en Suisse.</w:t>
      </w:r>
    </w:p>
    <w:p>
      <w:r>
        <w:rPr>
          <w:b/>
        </w:rPr>
        <w:t>E. 8</w:t>
      </w:r>
    </w:p>
    <w:p>
      <w:r>
        <w:t>La recourante a également avancé qu'elle ne disposait plus de logement au Maroc et que sa réintégration - en tant que femme divorcée, âgée de plus de 50 ans, sans enfant, sans réseau familial ou professionnel - était fortement compromise.</w:t>
      </w:r>
    </w:p>
    <w:p>
      <w:r>
        <w:rPr>
          <w:b/>
        </w:rPr>
        <w:t>E. 8.1</w:t>
      </w:r>
    </w:p>
    <w:p>
      <w:r>
        <w:t>Le Tribunal souligne tout d'abord que l'allégué potentiellement nouveau de la vente de la maison familiale, qui priverait la recourante d'un logement au Maroc (cf. demande de réexamen du 28 mai 2020 et recours du 20 juillet 2020, p. 3), n'a été étayé par aucun moyen de preuve, qui aurait rendu cet élément à tout le moins vraisemblable (sur le devoir de substantification : cf. supra, consid. 4.4).</w:t>
      </w:r>
    </w:p>
    <w:p>
      <w:r>
        <w:rPr>
          <w:b/>
        </w:rPr>
        <w:t>E. 8.2</w:t>
      </w:r>
    </w:p>
    <w:p>
      <w:r>
        <w:t>En outre, tant le SEM (cf. décision du 27 avril 2017) que le Tribunal (cf. arrêt du 23 septembre 2019, rendu en la cause F-2807/2017 [consid. 10.3]), à l'issue d'un examen circonstancié des faits de la cause, ont refusé de reconnaître que la réintégration de l'intéressée dans son pays d'origine se révèlerait fortement compromise, au vu de sa situation personnelle, familiale et médicale. Dès lors qu'une demande de réexamen ne peut servir à obtenir une nouvelle appréciation d'éléments connus en procédure ordinaire (cf. supra, consid. 4.4), la recourante ne saurait se prévaloir des arguments qu'elle avait déjà invoqués dans le cadre de la précédente procédure afin d'obtenir le réexamen de la décision que l'autorité inférieure a rendue le 27 avril 2017. C'est dire qu'il peut encore être attendu de la recourante, compte tenu notamment de la capacité d'adaptation dont elle a fait preuve durant sa présence sur le territoire helvétique, qu'elle se réinstalle dans son pays d'origine.</w:t>
      </w:r>
    </w:p>
    <w:p>
      <w:r>
        <w:rPr>
          <w:b/>
        </w:rPr>
        <w:t>E. 9</w:t>
      </w:r>
    </w:p>
    <w:p>
      <w:r>
        <w:t>En définitive, il s'avère qu'aucun fait nouveau suffisamment déterminant, ni aucun changement de circonstances suffisamment notable, propres à entraîner une modification de la décision de refus d'approbation et de renvoi prononcée à l'égard de l'intéressée, ne ressortent du dossier de la cause. Dans ces conditions, c'est à juste titre que l'autorité de première instance a rejeté la demande de réexamen de la recourante. En rendant sa décision du 30 juin 2020, le SEM n'a ni violé le droit fédéral, ni constaté des faits pertinents de manière inexacte ou incomplète. En outre, cette décision n'est pas inopportune (art. 49 PA). Par conséquent, le recours est rejeté.</w:t>
      </w:r>
    </w:p>
    <w:p>
      <w:r>
        <w:rPr>
          <w:b/>
        </w:rPr>
        <w:t>E. 10</w:t>
      </w:r>
    </w:p>
    <w:p>
      <w:r>
        <w:t>Vu l'issue du litige, il y a lieu de mettre les frais de la procédure à la charge de la recourante, conformément à l'art. 63 al. 1 PA en relation avec les art. 1 à 3 du règlement du 21 février 2008 concernant les frais, dépens et indemnités fixés par le Tribunal administratif fédéral (FITAF, RS 173.320.2). Enfin, compte tenu de l'issue de la cause, il n'y a pas lieu d'allouer des dépens (cf. art. 64 al. 1 PA a contrario et art. 7 al. 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