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F-3666/2020 vom 23. Juli 2020</w:t>
      </w:r>
    </w:p>
    <w:p>
      <w:r>
        <w:t>Bundesverwaltungsgericht, 2020-07-23, DE</w:t>
      </w:r>
    </w:p>
    <w:p>
      <w:r>
        <w:rPr>
          <w:b/>
        </w:rPr>
        <w:t xml:space="preserve">Quelle: </w:t>
      </w:r>
      <w:r>
        <w:t>https://mcp.opencaselaw.ch/entscheid/bvger_F-3666_2020</w:t>
      </w:r>
    </w:p>
    <w:p>
      <w:r>
        <w:t>FR: TAF F-3666/2020 du 23 juillet 2020</w:t>
      </w:r>
    </w:p>
    <w:p>
      <w:r>
        <w:t>IT: TAF F-3666/2020 del 23 luglio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die Durchführung eines Schriftenwechsels verzichtet werden kann und der Beschwerdeentscheid nur summarisch zu begründen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Beurteilungskompetenz der Beschwerdeinstanz ist vorliegend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wiederaufzunehmen (Art. 18 Abs. 1 Bst. c Dublin-III-VO).</w:t>
      </w:r>
    </w:p>
    <w:p>
      <w:r>
        <w:rPr>
          <w:b/>
        </w:rPr>
        <w:t>E. 3.3</w:t>
      </w:r>
    </w:p>
    <w:p>
      <w:r>
        <w:t>Den Akten ist zu entnehmen, dass der Beschwerdeführer am 30. März 2018 in Polen um Asyl ersucht hat (SEM-act. 7). Polen hat dem Gesuch um Rückübernahme des Beschwerdeführers am 29. März 2020 gestützt auf Art. 18 Abs. 1 Bst. c Dublin-III-VO ausdrücklich zugestimmt (SEM-act. 19). Die grundsätzliche Zuständigkeit Polens ist somit gegeben. Der Beschwerdeführer bestreitet diese denn auch nicht. Im persönlichen Gespräch vom 11. Juni 2020 bestätigte er vielmehr, die Grenze zu Polen überschritten zu haben, wobei ihm Fingerabdrücke abgenommen worden seien. Er wisse aber nicht, wie der Stand seines Asylverfahrens in Polen sei (SEM-act. 14). In seiner Rechtsmitteleingabe macht er jedoch geltend, die Schweiz habe aufgrund der Beziehung zu seinen minderjährigen Kindern das Selbsteintrittsrecht gemäss Art. 17 Abs. 1 Dublin-III-VO auszuüben (BVGer-act. 1).</w:t>
      </w:r>
    </w:p>
    <w:p>
      <w:r>
        <w:rPr>
          <w:b/>
        </w:rPr>
        <w:t>E. 4.1</w:t>
      </w:r>
    </w:p>
    <w:p>
      <w:r>
        <w:t>Im Folgenden ist demnach zu prüfen, ob die Schweiz aufgrund der familiären Beziehungen des Beschwerdeführers zu seinen Kindern gemäss Art. 17 Abs. 1 Dublin-III-VO, respektive der - das Selbsteintrittsrecht im Landesrecht konkretisierenden - Bestimmung von Art. 29a Abs. 3 der Asylverordnung 1 vom 11. August 1999 (AsylV 1, SR 142.311) das Selbsteintrittsrecht auszuüben hat, wonach das SEM das Asylgesuch «aus humanitären Gründen» auch dann behandeln kann, wenn dafür gemäss Dublin-III-VO ein anderer Staat zuständig wäre.</w:t>
      </w:r>
    </w:p>
    <w:p>
      <w:r>
        <w:rPr>
          <w:b/>
        </w:rPr>
        <w:t>E. 4.2</w:t>
      </w:r>
    </w:p>
    <w:p>
      <w:r>
        <w:t>Der Beschwerdeführer beruft sich hinsichtlich der Beziehung zu seinen minderjährigen, in der Schweiz wohnhaften Kindern auf den gemäss Art. 8 EMRK garantierten Schutz des Familienlebens sowie auf das Übereinkommen über die Rechte des Kindes (KRK, SR 0.107). Er habe die Beziehung zu seinen Kindern seit seiner Ausreise aus der Schweiz im Jahr 2016 via WhatsApp gelebt und den Kontakt zu ihnen auf diese Weise aufrechterhalten. Eine erneute Trennung von ihrem Vater entspreche nicht dem vorrangig zu beachtenden Interesse des Kindeswohls. Er legt diesbezüglich Interviews respektive Artikel bei, wonach vaterlos aufwachsende Kinder Einschränkungen in ihrer Identitäts- und Selbstentwicklung sowie ihrer Bindungs-, Beziehungs- und Leistungsfähigkeit erfahren würden (BVGer-act. 1 Beschwerdebeilage 8-11).</w:t>
      </w:r>
    </w:p>
    <w:p>
      <w:r>
        <w:rPr>
          <w:b/>
        </w:rPr>
        <w:t>E. 4.3</w:t>
      </w:r>
    </w:p>
    <w:p>
      <w:r>
        <w:t>Zum gemäss Art. 8 EMRK geschützten Familienkreis gehört in erster Linie die Kernfamilie, das heisst die Gemeinschaft der Ehegatten mit ihren minderjährigen Kindern. Art. 8 EMRK ist berührt, wenn eine staatliche Entfernungs- oder Fernhaltemassnahme eine nahe, echte und tatsächlich gelebte familiäre Beziehung einer in der Schweiz gefestigt anwesenheitsberechtigten Person beeinträchtigt (BGE 144 II 1 E. 6.1; 135 I 143 E. 1.3.2).</w:t>
      </w:r>
    </w:p>
    <w:p>
      <w:r>
        <w:rPr>
          <w:b/>
        </w:rPr>
        <w:t>E. 4.4</w:t>
      </w:r>
    </w:p>
    <w:p>
      <w:r>
        <w:t>Es wird vorliegend auf Ausführungen darüber, inwiefern die Kinder des Beschwerdeführers über ein gefestigtes Anwesenheitsrecht verfügen, verzichtet, da ohnehin erhebliche Zweifel daran bestehen, dass er eine nahe, echte und tatsächlich gelebte Beziehung zu ihnen hat. Der Beschwerdeführer hat sich im Jahr 2016 nach dem negativen Asylentscheid und einem abgewiesenen Wiedererwägungsgesuch entschieden, die Schweiz alleine zu verlassen und seine Ehefrau und die Kinder, die damals ebenfalls weggewiesen worden waren, hier zurückzulassen. Seine damals noch mit ihm verheiratete Ehefrau hat zwar Ende 2016 versucht, den Beschwerdeführer in ein von ihr und den Kindern anhängig gemachtes Wiedererwägungsgesuch einzubeziehen (Urteil des BVGer E-2619/2017 vom 16. Mai 2017). Eigene Anstrengungen für eine Wiedervereinigung mit seiner Familie oder für einen Besuch seiner Kinder hat der Beschwerdeführer jedoch keine unternommen. Die Intensität seiner Kontakte in die Schweiz war offenbar so gering, dass der Beschwerdeführer bis zur Personalienaufnahme am 8. Juni 2020 nicht einmal von der im Juli 2019 erfolgten Ehescheidung wusste (SEM-act. 14; 20). Er legt denn auch keinerlei Belege vor, die Kontakte mit seinen Kindern in der Zeitspanne zwischen seiner Ausreise im August 2016 und seiner Wiedereinreise in die Schweiz im Frühling 2020 dokumentieren würden. Die der Beschwerde beigelegten WhatsApp-Screenshots dokumentieren einzig gewisse, hauptsächlich durch Sprachnachrichten geführte Konversationen von Ende März 2020 und dann wieder ab Juni 2020 (BVGer-act. 1 Beschwerdebeilage 6). Die Erklärung, wonach frühere Kontakte aufgrund eines Nummernwechsels und wegen Neuaufsetzungen des Mobiltelefons nicht mehr belegt werden könnten, ist als blosse Schutzbehauptung zu werten. Doch selbst wenn der Beschwerdeführer gewisse telefonische Kontakte auch in der übrigen Zeit nachgewiesen hätte, würden diese noch nichts über die Qualität und Intensität der Beziehung aussagen. Jedenfalls kann den Akten nichts hinreichend Konkretes betreffend die Intensität, Stabilität und Ernsthaftigkeit einer gelebten Beziehung zu seinen Kindern, von denen er bei Aufnahme seiner Personalien nicht einmal die genauen Geburtsdaten nennen konnte, entnommen werden.</w:t>
      </w:r>
    </w:p>
    <w:p>
      <w:r>
        <w:rPr>
          <w:b/>
        </w:rPr>
        <w:t>E. 4.5</w:t>
      </w:r>
    </w:p>
    <w:p>
      <w:r>
        <w:t>Zusammengefasst kann trotz des Gesuchs im Sinne von Art. 9 Dublin-III-VO nicht von einer stabilen, engen und seit der Ausreise des Beschwerdeführers im Jahr 2016 tatsächlich gelebten Vater-Kind-Beziehung ausgegangen werden, die unter den Schutzbereich von Art. 8 EMRK fiele. Auch die KRK vermittelt keinen Anspruch auf den Verbleib des Beschwerdeführers in der Schweiz. Er kann die Beziehung zu seinen Kindern auch im Ausland und mittels moderner Kommunikationsmittel wiederaufnehmen und pflegen. Es bleibt ihm zudem unbenommen, sich um die Erfüllung der entsprechenden Einreisevoraussetzungen für Besuchsaufenthalte in der Schweiz zu bemühen. Die Vorinstanz hat die diesbezügliche Sach- und Rechtslage durch die Gewährung des rechtlichen Gehörs und Nachforschungen betreffend der familiären Verhältnisse (Scheidung, fehlende Bemühungen um legale Einreisemöglichkeiten zwecks Besuchs) abgeklärt. Insbesondere hat sie ausgeführt, aus welchen Gründen sie davon ausgeht, dass keine intakte Vater-Kind-Beziehung vorliege. Es liegt daher keine Verletzung des rechtlichen Gehörs vor. Aus demselben Grund ist unter Abweisung des entsprechenden Antrags auch keine Rückweisung der Sache zu weiteren Abklärungen an die Vorinstanz angezeigt.</w:t>
      </w:r>
    </w:p>
    <w:p>
      <w:r>
        <w:rPr>
          <w:b/>
        </w:rPr>
        <w:t>E. 4.6</w:t>
      </w:r>
    </w:p>
    <w:p>
      <w:r>
        <w:t>Betreffend das Vorliegen von «humanitären Gründen» verfügt das SEM bei der Anwendung der Kann-Bestimmung von Art. 29a Abs. 3 AsylV 1 über einen Ermessensspielraum (vgl. BVGE 2015/9 E. 7 f.). Das Bundesverwaltungsgericht beschränkt seine Beurteilung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w:t>
      </w:r>
    </w:p>
    <w:p>
      <w:r>
        <w:rPr>
          <w:b/>
        </w:rPr>
        <w:t>E. 4.7</w:t>
      </w:r>
    </w:p>
    <w:p>
      <w:r>
        <w:t>Nach dem Gesagten besteht kein Anlass für die Anwendung der Ermessensklausel und die Ausübung des Selbsteintrittsrechts gemäss Art. 17 Abs. 1 Dublin-III-VO.</w:t>
      </w:r>
    </w:p>
    <w:p>
      <w:r>
        <w:rPr>
          <w:b/>
        </w:rPr>
        <w:t>E. 5</w:t>
      </w:r>
    </w:p>
    <w:p>
      <w:r>
        <w:t>Im Übrigen gibt es keine Gründe für die Annahme, das Asylverfahren und die Aufnahmebedingungen für Asylsuchende in Polen würden systemische Schwachstellen aufweisen, die eine Gefahr einer unmenschlichen oder entwürdigenden Behandlung im Sinne des Artikels 4 der EU-Grundrechtecharta mit sich bringen würden. Seine unsubstantiierten Aussagen, wonach die polnischen Behörden korrupt seien und sich nicht an das Gesetz halten würden, vermögen nichts an dieser Schlussfolgerung, die der konstanten Rechtsprechung des Bundesverwaltungsgerichts entspricht, zu ändern. Es bestehen keine Anhaltspunkte dafür, dass sich die polnischen Behörden weigern würden, ihn wieder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zu prüfen. Grund zur Annahme, Polen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besteht ebenfalls nicht. Der Beschwerdeführer macht schliesslich auch keine gesundheitlichen Probleme geltend, die einer Überstellung nach Polen entgegenstünden. Unter diesen Umständen ist die Anwendung von Art. 3 Abs. 2 Dublin-III-VO nicht gerechtfertigt.</w:t>
      </w:r>
    </w:p>
    <w:p>
      <w:r>
        <w:rPr>
          <w:b/>
        </w:rPr>
        <w:t>E. 6</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Polen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Das Beschwerdeverfahren ist mit vorliegendem Urteil abgeschlossen, weshalb sich der Antrag auf Gewährung der aufschiebenden Wirkung als gegenstandslos erweist. Der am 21. Juli 2020 angeordnete Vollzugsstopp fällt mit dem vorliegenden Urteil dahin.</w:t>
      </w:r>
    </w:p>
    <w:p>
      <w:r>
        <w:rPr>
          <w:b/>
        </w:rPr>
        <w:t>E. 9</w:t>
      </w:r>
    </w:p>
    <w:p>
      <w:r>
        <w:t>Das mit der Beschwerde gestellte Gesuch um Gewährung der unentgeltlichen Prozessführung ist abzuweisen, da die Begehren - wie sich aus den vorstehenden Erwägungen ergibt - von Anfang an als aussichtslos zu beurteilen waren. Die Verfahrenskosten sind demnach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