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F-3660/2017 vom 22. Januar 2018</w:t>
      </w:r>
    </w:p>
    <w:p>
      <w:r>
        <w:t>Bundesverwaltungsgericht, 2018-01-22, DE</w:t>
      </w:r>
    </w:p>
    <w:p>
      <w:r>
        <w:rPr>
          <w:b/>
        </w:rPr>
        <w:t xml:space="preserve">Quelle: </w:t>
      </w:r>
      <w:r>
        <w:t>https://mcp.opencaselaw.ch/entscheid/bvger_F-3660_2017</w:t>
      </w:r>
    </w:p>
    <w:p>
      <w:r>
        <w:t>FR: TAF F-3660/2017 du 22 janvier 2018</w:t>
      </w:r>
    </w:p>
    <w:p>
      <w:r>
        <w:t>IT: TAF F-3660/2017 del 22 gennaio 2018</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Als Gastgeberin der Gesuchstellerin hat sich die Beschwerdeführerin insofern am Einspracheverfahren beteiligt, als sie zwecks Sachverhaltsabklärung den ihr vom kantonalen Migrationsamt übersandten Fragebogen beantwortet und dabei schriftliche Garantien zugunsten ihres Gastes abgegeben hat. Die Voraussetzung der Teilnahme am vorinstanzlichen Verfahren (vgl. BVGE 2014/1 E. 1.3.2) sowie die weiteren Voraussetzungen der Beschwerdelegitimation gemäss Art. 48 Abs. 1 Bst. a - c VwVG sind damit erfüllt. Auf die frist- und formgerecht eingereichte Beschwerde ist einzutreten (vgl. Art. 50 und 52 VwVG).</w:t>
      </w:r>
    </w:p>
    <w:p>
      <w:r>
        <w:rPr>
          <w:b/>
        </w:rPr>
        <w:t>E. 1.3</w:t>
      </w:r>
    </w:p>
    <w:p>
      <w:r>
        <w:t>In der vorliegenden 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sri-lankischen Staatsangehörigen um Erteilung eines Visums für einen 83-tägigen Aufenthalt in der Schweiz zugrunde. Mit der Rechtsmitteleingabe reduziert die Beschwerdeführerin das Gesuch auf einen 30-tägigen Aufenthalt.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im Wesentlichen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rechtsstaatlichen Handelns, namentlich der Rechtsgleichheit und Willkürfreiheit - ein weiter Beurteilungsspielraum zukommt (eingehend zur Auslegung von Art. 12 Abs. 1 i.V.m. Art. 2 VEV und Art. 6 SGK BVGE 2014/1 E. 4.1.4 und 4.1.5).</w:t>
      </w:r>
    </w:p>
    <w:p>
      <w:r>
        <w:rPr>
          <w:b/>
        </w:rPr>
        <w:t>E. 4.2</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4.3</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können (Art. 5 Abs. 2 AuG, Art. 14 Abs. 1 Bst. d und Art. 21 Abs. 1 Visakodex; vgl. dazu Egli / Meyer, in: Caroni/Gächter/Thurnherr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4.5</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ferner für weitere zulässige Ausnahmen Art. 6 Abs. 5 Bst. a und b SGK).</w:t>
      </w:r>
    </w:p>
    <w:p>
      <w:r>
        <w:rPr>
          <w:b/>
        </w:rPr>
        <w:t>E. 5.1</w:t>
      </w:r>
    </w:p>
    <w:p>
      <w:r>
        <w:t>Aufgrund ihrer sri-lankischen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(vgl. BVGE 2014/1 E. 6.1 m.H.).</w:t>
      </w:r>
    </w:p>
    <w:p>
      <w:r>
        <w:rPr>
          <w:b/>
        </w:rPr>
        <w:t>E. 5.3</w:t>
      </w:r>
    </w:p>
    <w:p>
      <w:r>
        <w:t>Das politische Klima in Sri Lanka hat sich seit Jahresbeginn 2015 grundlegend gewandelt. Zugleich ist der Weg zu dauerhaftem Frieden und Stabilität jedoch noch weit. In wirtschaftlicher Hinsicht gilt Sri Lanka gemäss Weltbank-Klassifikation als "lower middle-income country". Im UN-Index der menschlichen Entwicklung (HDI 2014) belegt Sri Lanka Position 73 von 188 Ländern. Der Anteil der Armen hat sich in den vergangenen Jahren zwar deutlich verringert. 2013 lebten 6,7 Prozent der Bevölkerung unterhalb der nationalen Armutsgrenze. 2002 hatte die Quote noch bei 22,7 Prozent gelegen. Allerdings sind die Einkommen zwischen Stadt- und Landbevölkerung und zwischen den Regionen sehr ungleich verteilt. Ein Grossteil der Wirtschaftsleistung des Landes konzentriert sich auf die Region um die Hauptstadt Colombo. Im zentralen Hochland und in den ehemaligen Bürgerkriegsgebieten im Norden - woher auch die tamilische Gesuchstellerin stammt (D._______, Distrikt F._______, Nordprovinz [vgl. SEM act. 3 S. 19]) - und Nordosten Sri Lankas leben dagegen viele Menschen am Existenzminimum. Es ist daher noch immer eine anhaltend hohe Emigration vorhanden (vgl. zum Ganzen Bundesministerium für wirtschaftliche Zusammenarbeit und Entwicklung, http://www.bmz.de Länder Asien Sri Lanka Zusammenarbeit Situation und Zusammenarbeit, aufgerufen im Januar 2018). Auch gehört Sri Lanka nach wie vor zu den wichtigeren Herkunftsländern von Asylsuchenden in der Schweiz (vgl. SEM, www.sem.admin.ch Publikationen &amp; Service Asylstatistik Archiv ab 1994 2016 Kommentierte Asylstatistik 1., 2. und 3. Quartal 2017).</w:t>
      </w:r>
    </w:p>
    <w:p>
      <w:r>
        <w:rPr>
          <w:b/>
        </w:rPr>
        <w:t>E. 5.4</w:t>
      </w:r>
    </w:p>
    <w:p>
      <w:r>
        <w:t>Aus den Akten geht hervor, dass die 67-jährige Gesuchstellerin verwitwet ist und insgesamt drei Töchter hat. F._______, die jüngste Tochter (geb. 1990) lebt in Sri Lanka, über den Verbleib ihrer mittleren Tochter, G._______, konnte sie keine näheren Angaben machen, und die älteste Tochter (die Beschwerdeführerin) lebt als anerkannter Flüchtling in der Schweiz (vgl. SEM act. 3 S. 30). Die Bereitschaft, das Heimatland bzw. den Aufenthaltsstaat zu verlassen, wird dort begünstigt, wo - wie im Fall der Gesuchstellerin - bereits Verwandte im Ausland leben. In Anbetracht dieser Umstände ist nicht zu beanstanden, dass die Vorinstanz das Risiko einer nicht fristgerechten Wiederausreise als allgemein sehr hoch einschätzt. Allerdings sind bei der Risikoanalyse neben allgemeinen Umständen und Erfahrungen sämtliche Gesichtspunkte des konkreten Einzelfalls zu berücksichtigen. In beweisrechtlicher Hinsicht ist festzuhalten, dass ein Visum nur erteilt werden darf, wenn keine begründeten Zweifel an der Absicht der Gesuchstellerin bestehen, den Schengen-Raum vor Ablauf des Visums zu verlassen (vgl. BVGE 2014/1 E. 4.4 und E. 6.3.1 je m.H.).</w:t>
      </w:r>
    </w:p>
    <w:p>
      <w:r>
        <w:rPr>
          <w:b/>
        </w:rPr>
        <w:t>E. 5.5</w:t>
      </w:r>
    </w:p>
    <w:p>
      <w:r>
        <w:t>Bezüglich der familiären Beziehungen der Gesuchstellerin legt deren Schwiegersohn in seiner Einsprache dar, sie habe Familienangehörige in Sri Lanka und betreue deren Kinder sowie ihre Enkelkinder (vgl. vorstehend Bst. C.). Die Beschwerdeführerin macht in diesem Zusammenhang geltend, ihre Mutter kümmere sich regelmässig um ihre in Sri Lanka lebenden Enkelkinder sowie um die Kinder von Bekannten. Sie nehme ferner ihre Betreuungsaufgabe gegenüber F._______ sehr ernst und lasse sie nie länger alleine. Auch hege F._______ den Wunsch, bis zu ihrer Heirat gemeinsam mit ihrer Mutter zu leben (vgl. vorstehend Bst. E. und F.). Gemäss der ins Recht gereichten Bestätigung vom 23. März 2017 ([...]; vgl. SEM act. 3 S. 50) leben nahe Verwandte der Gesuchstellerin in deren unmittelbarer Nachbarschaft, welche sich bereit erklärt haben, während der geplanten Abwesenheit der Gesuchstellerin für F._______ zu sorgen (vgl. SEM act. 3 S. 50). Auch gilt es in Betracht zu ziehen, dass F._______ bereits erwachsen ist und selbst unter Berücksichtigung der kulturellen Gepflogenheiten in Sri Lanka keiner besonderen Betreuung mehr bedarf, die nur durch ihre Mutter zu erfüllen wäre. Mangels weiterer und konkreterer Angaben ist jedenfalls nicht davon auszugehen, dass im persönlichen oder familiären Umfeld der Gesuchstellerin Verpflichtungen vorhanden sind, die besondere Gewähr für eine Rückkehr ins Heimatland bieten könnten.</w:t>
      </w:r>
    </w:p>
    <w:p>
      <w:r>
        <w:rPr>
          <w:b/>
        </w:rPr>
        <w:t>E. 5.6</w:t>
      </w:r>
    </w:p>
    <w:p>
      <w:r>
        <w:t>Die wirtschaftlichen Verhältnisse, in denen die Gesuchstellerin lebt, sind ebenfalls wenig transparent. Aus den Akten geht zwar hervor, dass sie offenbar in Sri Lanka über Grundbesitz verfügt, doch ist den eingereichten Unterlagen nicht zu entnehmen, ob es sich nun um ein bebautes Grundstück, um Bauland oder um Land in der Landwirtschaftszone handelt (vgl. SEM act. 3 S. 47 ff.). Im Zusammenhang mit dem angegebenen Bankguthaben im Betrag von 300'000 Rupien (vgl. SEM act. 3 S. 67) ist auffällig, dass die Bankbestätigung (...) - also einen Tag vor Einreichung des Gesuchs - ausgestellt wurde. Da die Herkunft dieses Betrages nicht dokumentiert ist, kann über die Kontinuität der Vermögenslage kein zuverlässiges Bild gemacht werden. Auch ist nicht auszuschliessen, dass dieser Betrag gerade im Hinblick auf die Erlangung eines Schengen-Visums auf die Gesuchstellerin übertragen wurde (vgl. hierzu und zum Folgenden BVGE 2014/1 E. 6.3.6). Ohnehin kann selbst ein Vermögen oder Grundbesitz keine hinreichende Gewähr für eine fristgerechte und anstandslose Wiederausreise der Gesuchstellerin leisten, da auch im Fall einer Migration solche Vermögenswerte nicht verloren gehen. Des Weiteren wird auf Beschwerdeebene geltend gemacht, die Gesuchstellerin sei (...) in einer Apotheke als Helferin tätig und wolle das durch diese Tätigkeit erzielte Einkommen auf keinen Fall verlieren. Bezeichnenderweise gehen zuverlässigere Belege, wie beispielsweise Steuerabrechnungen oder ein Arbeitsvertrag, welche diese Behauptungen untermauern könnten, aus den Akten nicht hervor. Ausserdem erklärte die Gesuchstellerin anlässlich der Auskunftserteilung für das Schengen-Visum, dass sie derzeit nicht berufstätig sei (vgl. SEM act. 3 S. 18: "no occupation"). Die Vorinstanz hält daher zu Recht fest, dass der Gesuchstellerin keine ausserordentlichen familiären, beruflichen oder gesellschaftlichen Verpflichtungen in der Heimat obliegen, die besondere Gewähr für eine fristgerechte Rückkehr böten.</w:t>
      </w:r>
    </w:p>
    <w:p>
      <w:r>
        <w:rPr>
          <w:b/>
        </w:rPr>
        <w:t>E. 5.7</w:t>
      </w:r>
    </w:p>
    <w:p>
      <w:r>
        <w:t>Es ist nachvollziehbar, dass die Beschwerdeführerin ihre Mutter auf eigene Kosten in die Schweiz zu Besuch einladen möchte und diese den Wunsch äussert, ihre Tochter und Enkelkinder in der Schweiz zu besuchen. Weder die Gesuchstellerin noch die Beschwerdeführerin konnten jedoch sachdienliche Unterlagen einreichen, welche die Zweifel am fristgerechten Verlassen der Schweiz zu entkräften vermögen. Aufgrund der vorliegenden Akten kann damit weder auf eine gesicherte wirtschaftliche Existenz noch auf besondere familiäre, berufliche oder gesellschaftliche Verpflichtungen der Gesuchstellerin in Sri Lanka geschlossen werden, die geeignet sind, das Risiko einer nicht fristgerechten Wiederausreise nach einem Besuchsaufenthalt in der Schweiz erheblich herabzusetzen (vgl. ähnliche Urteile des BVGer F-3885/2017 vom 14. Dezember 2017 E. 4.5; F-8048/2015 vom 15. März 2017 E. 7.2; F-7694/2015 vom 22. September 2016 E. 5.5 ff.).</w:t>
      </w:r>
    </w:p>
    <w:p>
      <w:r>
        <w:rPr>
          <w:b/>
        </w:rPr>
        <w:t>E. 6</w:t>
      </w:r>
    </w:p>
    <w:p>
      <w:r>
        <w:t>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BVGE 2009/27 E. 9). Die wiederholten Zusicherungen der Tochter, dass die Mutter die Schweiz fristgerecht wieder verlassen werde, können zu keiner anderen Einschätzung führen.</w:t>
      </w:r>
    </w:p>
    <w:p>
      <w:r>
        <w:rPr>
          <w:b/>
        </w:rPr>
        <w:t>E. 7</w:t>
      </w:r>
    </w:p>
    <w:p>
      <w:r>
        <w:t>Die Beschwerdeführerin macht geltend, dass sie ihre Mutter seit elf Jahren nicht mehr gesehen hat. Ein Eingriff in den Schutzbereich des Familienlebens liegt in aller Regel nicht vor, wenn von den Beteiligten ohne Weiteres erwartet werden kann, das Familienleben ausserhalb der Schweiz zu pflegen (vgl. zum Ganzen Urteil des BVGer F-1508/2017 vom 23. Juni 2017 E. 7.3 - E. 7.4 m.w.H.). Die Beschwerdeführerin und ihre Familie sind im Besitz eines Reisedokumentes, welches ihnen eine Zusammenkunft ausserhalb der Schweiz als auch ausserhalb Sri Lankas ermöglicht. Angesichts der potenziell gefährdeten öffentlichen Interessen der Schweiz ist daher auch die Verweigerung eines räumlich beschränkten Visums aus humanitären Gründen (vgl. E. 4.5) verhältnismässig und angezeigt. Zudem ist dem Umstand Rechnung zu tragen, dass die Erteilung eines Visums mit räumlich beschränkter Geltung auch die Interessen der übrigen Schengen-Staaten beeinträchtigen kann (vgl. BVGE 2014/1 E. 9.2 m.H.).</w:t>
      </w:r>
    </w:p>
    <w:p>
      <w:r>
        <w:rPr>
          <w:b/>
        </w:rPr>
        <w:t>E. 8</w:t>
      </w:r>
    </w:p>
    <w:p>
      <w:r>
        <w:t>Die angefochtene Verfügung ist nach dem Gesagten im Lichte von Art. 49 VwVG nicht zu beanstanden. Die Beschwerde ist abzuweisen.</w:t>
      </w:r>
    </w:p>
    <w:p>
      <w:r>
        <w:rPr>
          <w:b/>
        </w:rPr>
        <w:t>E. 9</w:t>
      </w:r>
    </w:p>
    <w:p>
      <w:r>
        <w:t>Bei diesem Ausgang des Verfahrens sind die Kosten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