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F-3653/2024 vom 14. Juni 2024</w:t>
      </w:r>
    </w:p>
    <w:p>
      <w:r>
        <w:t>Bundesverwaltungsgericht, 2024-06-14, DE</w:t>
      </w:r>
    </w:p>
    <w:p>
      <w:r>
        <w:rPr>
          <w:b/>
        </w:rPr>
        <w:t xml:space="preserve">Quelle: </w:t>
      </w:r>
      <w:r>
        <w:t>https://mcp.opencaselaw.ch/entscheid/bvger_F-3653_2024</w:t>
      </w:r>
    </w:p>
    <w:p>
      <w:r>
        <w:t>FR: TAF F-3653/2024 du 14 juin 2024</w:t>
      </w:r>
    </w:p>
    <w:p>
      <w:r>
        <w:t>IT: TAF F-3653/2024 del 14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w:t>
      </w:r>
    </w:p>
    <w:p>
      <w:r>
        <w:t>Der Beschwerdeführer bestreitet zu Recht nicht, dass Deutschland grundsätzlich verpflichtet ist, ihn gestützt auf Art. 18 Abs. 1 Bst. b in Verbindung mit Art. 23 Dublin-III-VO wiederaufzunehmen.</w:t>
      </w:r>
    </w:p>
    <w:p>
      <w:r>
        <w:rPr>
          <w:b/>
        </w:rPr>
        <w:t>E. 5.1</w:t>
      </w:r>
    </w:p>
    <w:p>
      <w:r>
        <w:t>Das deutsche Asylsystem weist gemäss konstanter Rechtsprechung keine systemischen Mängel im Sinne von Art. 3 Abs. 2 Dublin-III-VO auf (jüngst: Urteile des BVGer D-3349/2024 vom 30. Mai 2024; E-3302/2024 vom 28. Mai 2024 E. 4.2).</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 Selbsteintrittsrecht ist obligatorisch auszuüben, wenn die Überstellung der betroffenen Person in den an sich zuständigen Mitgliedstaat zu einer Verletzung völkerrechtlicher Verpflichtungen der Schweiz führen würde (BVGE 2015/9 E. 8.2.1). Zudem kann das SEM gemäss Art. 29a Abs. 3 der Asylverordnung 1 vom 11. August 1999 (AsylV 1, SR 142.311) das Asylgesuch «aus humanitären Gründen» auch dann behandeln, wenn dafür gemäss Dublin-III-VO eigentlich ein anderer Staat zuständig wäre. Dabei darf das Bundesverwaltungsgericht sein eigenes Ermessen nicht an Stelle desjenigen des SEM setzen (BVGE 2015/9 E. 7.6 und E. 8.1 in fine).</w:t>
      </w:r>
    </w:p>
    <w:p>
      <w:r>
        <w:rPr>
          <w:b/>
        </w:rPr>
        <w:t>E. 5.3</w:t>
      </w:r>
    </w:p>
    <w:p>
      <w:r>
        <w:t>Der Beschwerdeführer bringt in der Beschwerdeschrift einzig vor, er möchte nicht nach Deutschland zurückkehren, weil ihm dort viele schlechte Dinge widerfahren seien. Beispielsweise habe die dortige Polizei ihn nicht korrekt und rassistisch behandelt. Rassismus habe er in Deutschland oft erlebt, weshalb er unter solchen Bedingungen nicht leben wolle. Er hoffe in der Schweiz auf ein sicheres Leben und eine bessere Zukunft.</w:t>
      </w:r>
    </w:p>
    <w:p>
      <w:r>
        <w:rPr>
          <w:b/>
        </w:rPr>
        <w:t>E. 5.4</w:t>
      </w:r>
    </w:p>
    <w:p>
      <w:r>
        <w:t>Mit diesen unsubstantiierten Vorbringen vermag der Beschwerdeführer nicht darzutun, dass die ihn bei einer Rückführung nach Deutschland zu erwartenden Bedingungen derart schlecht sind, dass sie zu einer Verletzung von Art. 3 EMRK führen könnten. Sollte er sich künftig von Behördenvertretern oder Drittpersonen ungerecht oder rechtswidrig behandelt fühlen, ist es ihm ohne Weiteres zuzumuten, sich - allenfalls mit Unterstützung karitativer Organisationen vor Ort - an das Justizwesen Deutschlands oder dortige Aufsichtsbehörden zu wenden (vgl. Urteil des BVGer D-3386/2024 vom 3. Juni 2024 E. 7.3). Jedenfalls vermag er kein konkretes Risiko darzutun, die deutschen Behörden würden in seinem Fall ihren völkerrechtlichen Verpflichtungen nicht nachkommen. Eine Verletzung von Art. 3 EMRK ist nicht zu befürchten. Die Vorinstanz hat offenkundig auch das ermessensbedingte Selbsteintrittsrecht von Art. 17 Dublin-III-VO sowie Art. 29a Abs. 3 AsylV 1 rechtskonform nicht ausgeübt.</w:t>
      </w:r>
    </w:p>
    <w:p>
      <w:r>
        <w:rPr>
          <w:b/>
        </w:rPr>
        <w:t>E. 5.5</w:t>
      </w:r>
    </w:p>
    <w:p>
      <w:r>
        <w:t>Der Beschwerdeführer ist darauf hinzuweisen, dass die Dublin-III-VO den Antragstellenden kein Wahlrecht gewährt hinsichtlich des Mitgliedstaates, der ihren Antrag prüfen soll (BVGE 2010/45 E. 8.3). Es gilt das Prinzip der Überprüfung eines Asylgesuchs durch einen einzigen Mitgliedstaat («one chance only»), welches im Gegenteil der Vermeidung von multiplen Asylgesuchen in verschiedenen Staaten dient (sog. «asylum shopping»; vgl. BVGE 2017 VI/5 E. 8.5.3.3).</w:t>
      </w:r>
    </w:p>
    <w:p>
      <w:r>
        <w:rPr>
          <w:b/>
        </w:rPr>
        <w:t>E. 6</w:t>
      </w:r>
    </w:p>
    <w:p>
      <w:r>
        <w:t>Die Beschwerde ist abzuweisen. Mit dem vorliegenden Urteil fällt der am 11. Juni 2024 angeordnete Vollzugsstopp dahin. Das Gesuch um Erteilung der aufschiebenden Wirkung ist gegenstandslos geworden.</w:t>
      </w:r>
    </w:p>
    <w:p>
      <w:r>
        <w:rPr>
          <w:b/>
        </w:rPr>
        <w:t>E. 7</w:t>
      </w:r>
    </w:p>
    <w:p>
      <w:r>
        <w:t>Die Begehren erweisen sich von vornherein als aussichtslos, weshalb das Gesuch um unentgeltliche Rechtspflege (Art. 65 Abs. 1 und 2 VwVG) abzuweisen ist.</w:t>
      </w:r>
    </w:p>
    <w:p>
      <w:r>
        <w:rPr>
          <w:b/>
        </w:rPr>
        <w:t>E. 8</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