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F-3644/2025 vom 3. Juni 2025</w:t>
      </w:r>
    </w:p>
    <w:p>
      <w:r>
        <w:t>Bundesverwaltungsgericht, 2025-06-03, DE</w:t>
      </w:r>
    </w:p>
    <w:p>
      <w:r>
        <w:rPr>
          <w:b/>
        </w:rPr>
        <w:t xml:space="preserve">Quelle: </w:t>
      </w:r>
      <w:r>
        <w:t>https://mcp.opencaselaw.ch/entscheid/bvger_F-3644_2025</w:t>
      </w:r>
    </w:p>
    <w:p>
      <w:r>
        <w:t>FR: TAF F-3644/2025 du 3 juin 2025</w:t>
      </w:r>
    </w:p>
    <w:p>
      <w:r>
        <w:t>IT: TAF F-3644/2025 del 3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1.2</w:t>
      </w:r>
    </w:p>
    <w:p>
      <w:r>
        <w:t>Bei der angefochtenen Verfügung handelt es sich einerseits um einen Nichteintretens- und Wegweisungsentscheid (Ziffern 1-3 des Dispositivs) und andererseits um einen Entscheid darüber, welches Geburtsdatum im ZEMIS einzutragen ist (Ziffer 6 des Dispositivs). Das Hauptrechtsbegehren lautet auf vollständige Aufhebung der Verfügung der Vorinstanz vom 12. Mai 2025. Der ZEMIS-Eintrag (Ziffer 6 des Dispositivs) wird indessen nicht explizit angefochten. In der Beschwerdeschrift wird zur Thematik der Minderjährigkeit zwar Folgendes ausgeführt: «Der Beschwerdeführer hat mehrfach versucht, den lettischen Behörden mitzuteilen, dass er am 20. Juni 2009 geboren wurde. Dennoch wurde er von den Behörden nicht beachtet. Sie änderten sein Geburtsdatum eigenmächtig ab und behandelten ihn als volljährigen Mann. Der Beschwerdeführer verfügt über eine somalische Identitätsurkunde, auf der eindeutig vermerkt ist, dass sein Geburtsdatum der 20. Juni 2009 ist.» Diese Vorbringen beziehen sich nicht spezifisch auf die Altersanpassung, weshalb daraus nicht abgeleitet werden kann, der Beschwerdeführer habe Ziffer 6 des Dispositivs anfechten wollen. Gegenstand der vorliegenden Beschwerde ist daher ausschliesslich der im Rahmen des Dublin-Verfahrens ergangene Nichteintretensentscheid mitsamt der Überstellungsanordnung nach Lettland (vgl. BGE 136 II 457 E. 4.2; 142 I 155 E. 4.4.2). Nicht Thema des vorliegenden Verfahrens ist demgegenüber die Änderung des Geburtsdatums des Beschwerdeführers im ZEMIS. Die entsprechende Dispositiv-Ziffer 6 ist allerdings noch nicht rechtskräftig und kann innert laufender Rechtsmittelfrist von 30 Tagen noch angefochten werden (vgl. Urteil des BVGer E-1199/2024 vom 4. März 2024 E. 2.3).</w:t>
      </w:r>
    </w:p>
    <w:p>
      <w:r>
        <w:rPr>
          <w:b/>
        </w:rPr>
        <w:t>E. 1.3</w:t>
      </w:r>
    </w:p>
    <w:p>
      <w:r>
        <w:t>Soweit der Beschwerdeführer eine vorläufige Aufnahme aufgrund von Unzulässigkeit respektive Unzumutbarkeit des Wegweisungsvollzugs beantragt, sprengt dieses Begehren den Anfechtungsgegenstand, was unzulässig ist (BVGE 2011/9 E. 5). Auf die Beschwerde ist einzutreten, soweit damit der Nichteintretens- und Wegweisungsentscheid angefochten wird.</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dem Gutachten zur Altersschätzung vom 2. April 2025 des Instituts für Rechtsmedizin des Kantonsspitals St. Gallen ist anhand der Zusammenschau aller Untersuchungsbefunde von einem Mindestalter des Beschwerdeführers von 19 Jahren auszugehen. Aufgrund des Ergebnisses des Altersgutachtens, welches die Minderjährigkeit des Beschwerdeführers ausschliesst, ist dieser nicht vom Wiederaufnahmeverfahren ausgenommen (vgl. Filzwieser/Sprung, Dublin-III-VO, Wien 2014, Kap. 15 f. zu Art. 8). Der Beschwerdeführer vermag seine Minderjährigkeit auch auf Beschwerdeebene nicht glaubhaft darzutun.</w:t>
      </w:r>
    </w:p>
    <w:p>
      <w:r>
        <w:rPr>
          <w:b/>
        </w:rPr>
        <w:t>E. 2.2</w:t>
      </w:r>
    </w:p>
    <w:p>
      <w:r>
        <w:t>Die Vorinstanz hat korrekt erwogen, dass gemäss den Bestimmungen der Dublin-III-VO grundsätzlich Lettland für die Behandlung des Asylgesuchs des Beschwerdeführers zuständig ist, dass das lettische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den dokumentierten Gesundheitszustand des Beschwerdeführers (Fieber, diverse Allergien, Juckreiz, Scabies und Arthrose) sowie das Fehlverhalten einzelner lettischer Sicherheitskräfte und Übergriffe durch Privatpersonen berücksichtigt und diese rechtsprechungskonform gewürdigt. Die Vorinstanz ist demnach zu Recht in Anwendung von Art. 31a Abs. 1 Bst. b AsylG auf das Asylgesuch des Beschwerdeführers nicht eingetreten und hat in Anwendung von Art. 44 AsylG dessen Wegweisung nach Lettland angeordnet. Zur näheren Begründung wird auf die Erwägungen der Vorinstanz verwiesen.</w:t>
      </w:r>
    </w:p>
    <w:p>
      <w:r>
        <w:rPr>
          <w:b/>
        </w:rPr>
        <w:t>E. 2.3</w:t>
      </w:r>
    </w:p>
    <w:p>
      <w:r>
        <w:t>Was der Beschwerdeführer auf Rechtsmittelebene vorbringt, vermag an der Richtigkeit der angefochtenen Verfügung nichts zu ändern. Das von ihm wiedergegebene Urteil vom Oberlandesgericht Braunschweig (welches das Bundesverwaltungsgericht ohnehin nicht bindet), die Berichte von Nichtregierungsorganisationen zur Situation in Lettland und zu gewaltvollen Rückführungen (Kettenabschiebungen) sowie die geltend gemachten Erlebnisse vermögen keine systemischen Mängel im Sinne von Art. 3 Abs. 2 Dublin-III-VO zu belegen. Für eine Änderung der Rechtsprechung (zu den Voraussetzungen: BGE 147 V 342 E. 5.5.1 m.w.H.) besteht in Würdigung der vom Beschwerdeführer gemachten Äusserungen keine Veranlassung. Es ist demnach davon auszugehen, dass Gesuchstellende, welche gestützt auf die Dublin-III-VO nach Lettland überstellt werden, Zugang zum dortigen Asylverfahren erhalten und Lettland die Sicherheit gestützt auf die Dublin-III-VO überstellter Personen garantiert und deren Rechte gemäss dem internationalen Recht einhält (siehe E. 2.2 hiervor). Die vom Beschwerdeführer geltend gemachten gesundheitlichen Probleme (Schlafstörungen, Albträume, Angstzustände) sind nicht derart gravierend, dass gestützt auf Art. 3 EMRK von einer Überstellung nach Lettland abgesehen werden müsste. Nichtsdestotrotz ist ergänzend darauf hinzuweisen, dass Lettland über eine ausreichende medizinische Infrastruktur verfügt.</w:t>
      </w:r>
    </w:p>
    <w:p>
      <w:r>
        <w:rPr>
          <w:b/>
        </w:rPr>
        <w:t>E. 2.4</w:t>
      </w:r>
    </w:p>
    <w:p>
      <w:r>
        <w:t>Auch die formelle Rüge des Beschwerdeführers, wonach die Vorinstanz ihre Untersuchungspflicht in Bezug auf seine persönliche Situation - insbesondere im Hinblick auf seine gesundheitliche Verfassung, sein wahres Alter sowie die tatsächlichen Verhältnisse in Lettland - verletzt habe, erweist sich als unbegründet. So wurde der Sachverhalt durch die Vorinstanz genügend festgestellt. Der Subeventualantrag auf Rückweisung der Sache an die Vorinstanz ist abzuweisen.</w:t>
      </w:r>
    </w:p>
    <w:p>
      <w:r>
        <w:rPr>
          <w:b/>
        </w:rPr>
        <w:t>E. 2.5</w:t>
      </w:r>
    </w:p>
    <w:p>
      <w:r>
        <w:t>Schliesslich geht das Bundesverwaltungsgericht in seiner Praxis davon aus, dass die schweizerischen Behörden bei den lettischen Behörden in der Regel keine individuellen Zusicherungen bezüglich des Zugangs zu adäquater Unterbringung, Betreuung und medizinischer Versorgung einzuholen haben (vgl. Urteil des BVGer F-1357/2024 vom 12. März 2024 E. 8). Es bestehen keine Gründe, von dieser Praxis abzuweichen. Der entsprechende Sub-subeventualantrag ist ebenfalls abzuweisen.</w:t>
      </w:r>
    </w:p>
    <w:p>
      <w:r>
        <w:rPr>
          <w:b/>
        </w:rPr>
        <w:t>E. 3</w:t>
      </w:r>
    </w:p>
    <w:p>
      <w:r>
        <w:t>Nach dem Gesagten ist die angefochtene Verfügung nicht zu beanstanden und die Beschwerde ist abzuweisen, soweit darauf einzutreten ist.</w:t>
      </w:r>
    </w:p>
    <w:p>
      <w:r>
        <w:rPr>
          <w:b/>
        </w:rPr>
        <w:t>E. 4</w:t>
      </w:r>
    </w:p>
    <w:p>
      <w:r>
        <w:t>Mit vorliegendem Urteil fällt der am 21. Mai 2025 angeordnete Vollzugsstopp dahin.</w:t>
      </w:r>
    </w:p>
    <w:p>
      <w:r>
        <w:rPr>
          <w:b/>
        </w:rPr>
        <w:t>E. 5.1</w:t>
      </w:r>
    </w:p>
    <w:p>
      <w:r>
        <w:t>Die Begehren erweisen sich als aussichtslos, weshalb das Gesuch um unentgeltliche Prozessführung (Art. 65 Abs. 1 VwVG)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