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F-3628/2019 vom 25. November 2019</w:t>
      </w:r>
    </w:p>
    <w:p>
      <w:r>
        <w:t>Bundesverwaltungsgericht, 2019-11-25, DE</w:t>
      </w:r>
    </w:p>
    <w:p>
      <w:r>
        <w:rPr>
          <w:b/>
        </w:rPr>
        <w:t xml:space="preserve">Quelle: </w:t>
      </w:r>
      <w:r>
        <w:t>https://mcp.opencaselaw.ch/entscheid/bvger_F-3628_2019</w:t>
      </w:r>
    </w:p>
    <w:p>
      <w:r>
        <w:t>FR: TAF F-3628/2019 du 25 novembre 2019</w:t>
      </w:r>
    </w:p>
    <w:p>
      <w:r>
        <w:t>IT: TAF F-3628/2019 del 25 novembre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d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Art. 52 VwVG). Die Beschwerdeführenden sind als Verfügungsadressaten zur Einreichung der Beschwerde legitimiert (Art. 48 Abs. 1 VwVG). Auf die Beschwerde ist einzutreten.</w:t>
      </w:r>
    </w:p>
    <w:p>
      <w:r>
        <w:rPr>
          <w:b/>
        </w:rPr>
        <w:t>E. 2</w:t>
      </w:r>
    </w:p>
    <w:p>
      <w:r>
        <w:t>Gestützt auf Art. 111a Abs. 1 AsylG ist kein Schriftenwechsel durchgeführt worden.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relevanten Zuständigkeitskriterien gemäss Art. 7 - 15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Die italienischen Behörden haben den Beschwerdeführenden Schengen-Visa ausgestellt, was - unabhängig von den Art. 7 - 11 Dublin-III-VO - prinzipiell zur Zuständigkeit Italiens führt (vgl. Art. 12 Abs. 4 Dublin-III-VO). Indem es die italienischen Behörden unterlassen haben, zu den vom SEM am 25. April 2019 übermittelten Übernahmeersuchen Stellung zu nehmen, haben sie ihre Zuständigkeit stillschweigend anerkannt (vgl. Art. 25 Abs. 2 Dublin-III-VO) und nachfolgend, am 28. Juni 2019, auch explizit bestätigt.</w:t>
      </w:r>
    </w:p>
    <w:p>
      <w:r>
        <w:rPr>
          <w:b/>
        </w:rPr>
        <w:t>E. 5</w:t>
      </w:r>
    </w:p>
    <w:p>
      <w:r>
        <w:t>Angesichts der von den Beschwerdeführenden behaupteten Mängel im italienischen Asylsystem stellt sich jedoch die Frage, ob das dortige Verfahren und die Aufnahmebedingungen für Asylsuchende systemische Schwachstellen - einhergehend mit unmenschlicher oder entwürdigender Behandlung im Sinne von Art. 4 der EU-Grundrechtecharta - befürchten lassen (vgl. Art. 3 Abs. 2 Dublin-III-VO) und ob das SEM aufgrund dessen selbst auf die von den Beschwerdeführenden deponierten Asylgesuche hätte eintreten müssen.</w:t>
      </w:r>
    </w:p>
    <w:p>
      <w:r>
        <w:rPr>
          <w:b/>
        </w:rPr>
        <w:t>E. 6</w:t>
      </w:r>
    </w:p>
    <w:p>
      <w:r>
        <w:t>Das SEM führt zur Begründung seines Entscheids aus, es gebe keine konkreten Hinweise für die Annahme, dass Italien die Beschwerdeführerenden und ihren Sohn nicht in eine dem Alter des Kindes entsprechende Struktur aufnehmen würde. Ebenso wenig sei zu befürchten, dass sich Italien nicht an völkerrechtliche Verpflichtungen halte. Gemäss dem Urteil Tarakhel des Europäischen Gerichtshofs für Menschenrechte (Urteil des EGMR Tarakhel vs. Schweiz vom 4. November 2014, Nr. 29217/12) sowie der bundesverwaltungsgerichtlichen Rechtsprechung müssten von Italien bei der Überstellung von Familien Zusicherungen verlangt werden, dass die Familie nicht getrennt werde und eine kindergerechte Unterbringung gewährleistet sei. Dementsprechend hätten die italienischen Behörden mit Zirkularschreiben vom 2. Februar 2015, vom 15. April 2015 und vom 8. Juni 2015 mitgeteilt, dass im Land spezielle Zentren (SPRAR) für die Unterbringung von Familien mit Kindern vorgesehen seien. Die insofern gegebenen Garantien habe das Bundesverwaltungsgericht in seinem Koordinationsurteil D-6358/2015 vom 7. April 2016 als ausreichend erachtet. Nach einer Gesetzesänderung vom 4. Dezember 2018 - Folge des sogenannten Salvini-Dekrets - sei das System SPRAR durch das System SIPROIMI (Sistema di protezione per titolari di protezione internazionale e per minori stranierei non accompagnati) abgelöst worden; es sei nun für die Begünstigten internationalen Schutzes, für unbegleitete Minderjährige sowie Personen mit einer neuen humanitären Aufenthaltsbewilligung reserviert. Aus einem Rundschreiben der italienischen Behörden vom 8. Januar 2019 an die Partnerstaaten ergebe sich jedoch, dass auch inskünftig eine adäquate Aufnahme im Rahmen des Dublin-Verfahrens sowie die Wahrung der Grundrechte - namentlich die der Familieneinheit und des Schutzes der Minderjährigen - garantiert würden. Da die Anlandungen in Italien stark zurückgegangen seien und Italien in den vergangenen Jahren die Unterbringungsmöglichkeiten massiv vergrössert habe, verfüge das Land aktuell über ausreichende Aufnahmekapazitäten. Es sei somit davon auszugehen, dass nach Italien überstellte Familien in kindgerechten Strukturen untergebracht und nicht getrennt würden; eine Überstellung bedeute daher keine Verletzung von Art. 3 EMRK. Es bestehe insgesamt kein Anlass für einen Selbsteintritt der Schweiz (vgl. Art. 17 Abs. 1 Dublin-III-VO bzw. Art. 29a Abs. 3 der Asylverordnung 1 vom 11. August 1999 [AsylV 1, SR 142.311]).</w:t>
      </w:r>
    </w:p>
    <w:p>
      <w:r>
        <w:rPr>
          <w:b/>
        </w:rPr>
        <w:t>E. 7</w:t>
      </w:r>
    </w:p>
    <w:p>
      <w:r>
        <w:t>Die Beschwerdeführenden machen demgegenüber geltend, die Lage in Italien habe sich seit dem am 5. Oktober 2018 in Kraft getretenen Salvini-Dekret verschlechtert, denn die ehemaligen SPRAR-Unterkünfte stünden nur noch unbegleiteten Minderjährigen und Personen mit Schutzstatus offen. Für sämtliche Asylsuchende und Inhaber des humanitären Status sei ab jenem Zeitpunkt nur noch die Aufnahme in den grösseren Kollektivzentren (CDA oder CARA) oder Notaufnahmezentren (CAS) vorgesehen. Dort fehle es an ausreichender medizinischer Versorgung. Somit hätten nicht einmal vulnerable Personen und Familien mit minderjährigen Kindern noch Zugang zu den SIPROIMI-Unterkünften, welche das SPRAR-System abgelöst hätten. In den übrigen Aufnahmezentren fehle es jedenfalls an ausreichender medizinischer Versorgung, auf welche die Beschwerdeführenden aufgrund der Schwangerschaft der Beschwerdeführerin 1 und der beim Beschwerdeführer 2 diagnostizierten posttraumatischen Belastungsstörung angewiesen seien. Hinzu komme, dass der Beschwerdeführer 2 bei der Eröffnung der angefochtenen Verfügung der Rechtsvertreterin berichtet habe, in seinem Heimatstaat in Polizeigewahrsam gefoltert worden zu sein, weshalb er unter massiven psychischen Probleme leide.</w:t>
      </w:r>
    </w:p>
    <w:p>
      <w:r>
        <w:rPr>
          <w:b/>
        </w:rPr>
        <w:t>E. 8.1</w:t>
      </w:r>
    </w:p>
    <w:p>
      <w:r>
        <w:t>Das BVGer hat in jüngerer Zeit regelmässig festgehalten, dass die Einwände der Beschwerdeführer im Zusammenhang mit der Unterbringung und der medizinischen Versorgung vulnerabler Personen und Familien, die sich auf diverse Berichte von Nichtregierungsorganisationen stützten, nicht von der Hand zu weisen seien. Das BVGer kam dabei zum Schluss, dass das SEM solche Hinweise bei seiner Entscheidung nicht hätte ausser Acht lassen dürfen. Vielmehr müssten diese Hinweise geprüft und gegebenenfalls individuelle Zusicherungen der italienischen Behörden zur familiengerechten Unterbringung und zur notwendigen medizinischen Versorgung eingeholt werden (vgl. etwa Urteile F-3306/2019 vom 12. November 2019 E. 6.2 und E. 6.3 m.H. oder F-5240/2019 vom 14. Oktober 2019 S. 6 f. je m.H.).</w:t>
      </w:r>
    </w:p>
    <w:p>
      <w:r>
        <w:rPr>
          <w:b/>
        </w:rPr>
        <w:t>E. 8.2</w:t>
      </w:r>
    </w:p>
    <w:p>
      <w:r>
        <w:t>Auch im vorliegenden Fall handelt es sich um eine Familie mit Kindern. Das SEM hätte daher auch hier prüfen müssen, welche konkreten Unterbringungsmodalitäten für die Beschwerdeführenden bestehen. Gegebenenfalls hätte das SEM von den italienischen Behörden weitere - über die Bestätigung mittels Formular "Nucleo Familiare" hinausgehende - Zusicherungen bezüglich familiengerechter Unterbringung und medizinischer Versorgung einholen müssen. Hinzu kommt, dass der erst im September 2019 geborene Beschwerdeführer 4 im Übernahmeersuchen vom April 2019 noch nicht aufgeführt war. Das SEM hat somit einerseits das Übernahmegesuch um den Beschwerdeführer 4 zu ergänzen und andererseits die erwähnten Zusicherungen - auch unter Berücksichtigung der auf Beschwerdeebene eingereichten Arztberichte - einzuholen. Geben die italienischen Behörden keine entsprechenden Zusicherungen ab, so hat das SEM die Anwendung der Souveränitätsklausel zu prüfen.</w:t>
      </w:r>
    </w:p>
    <w:p>
      <w:r>
        <w:rPr>
          <w:b/>
        </w:rPr>
        <w:t>E. 8.3</w:t>
      </w:r>
    </w:p>
    <w:p>
      <w:r>
        <w:t>Zusammenfassend ist festzustellen, dass die Vorinstanz den Sachverhalt im Hinblick auf die Anwendung der Souveränitätsklausel nicht rechtsgenüglich abgeklärt hat (vgl. Art. 49 Bst. b VwVG) und ihr Ermessen unterschritten hat (vgl. Art. 49 Bst. a VwVG). Die Vorinstanz hätte, wie zuvor ausgeführt, bezogen auf den vorliegenden Einzelfall prüfen müssen, ob es in Würdigung der konkreten Umstände tatsächlich angezeigt ist, auf einen Selbsteintritt zu verzichten.</w:t>
      </w:r>
    </w:p>
    <w:p>
      <w:r>
        <w:rPr>
          <w:b/>
        </w:rPr>
        <w:t>E. 9</w:t>
      </w:r>
    </w:p>
    <w:p>
      <w:r>
        <w:t>Die Beschwerde erweist sich somit als begründet und ist gutzuheissen. Die Verfügung vom 4. Juli 2019 ist aufzuheben und die Sache zur vollständigen Abklärung des Sachverhalts und zur Prüfung der Anwendung der Souveränitätsklausel - in Ausübung des gesetzeskonformen Ermessens - an die Vorinstanz zurückzuweisen.</w:t>
      </w:r>
    </w:p>
    <w:p>
      <w:r>
        <w:rPr>
          <w:b/>
        </w:rPr>
        <w:t>E. 10</w:t>
      </w:r>
    </w:p>
    <w:p>
      <w:r>
        <w:t>Bei diesem Ausgang des Verfahrens sind keine Kosten zu erheben (Art. 63 Abs. 1 und 2 VwVG). 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