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F-3597/2024 vom 12. Juni 2024</w:t>
      </w:r>
    </w:p>
    <w:p>
      <w:r>
        <w:t>Bundesverwaltungsgericht, 2024-06-12, DE</w:t>
      </w:r>
    </w:p>
    <w:p>
      <w:r>
        <w:rPr>
          <w:b/>
        </w:rPr>
        <w:t xml:space="preserve">Quelle: </w:t>
      </w:r>
      <w:r>
        <w:t>https://mcp.opencaselaw.ch/entscheid/bvger_F-3597_2024</w:t>
      </w:r>
    </w:p>
    <w:p>
      <w:r>
        <w:t>FR: TAF F-3597/2024 du 12 juin 2024</w:t>
      </w:r>
    </w:p>
    <w:p>
      <w:r>
        <w:t>IT: TAF F-3597/2024 del 12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Beschwerdeführerin rügt zunächst, die Vorinstanz habe den rechtserheblichen Sachverhalt nicht korrekt abgeklärt sowie keine einzelfallbezogene Prüfung des Gesuchs vorgenommen. Diese formellen Rügen sind vorab zu beurteilen, da sie allenfalls geeignet sind, eine Rückweisung der Sache an die Vorinstanz zu rechtfertigen (vgl. BGE 138 I 232 E. 5).</w:t>
      </w:r>
    </w:p>
    <w:p>
      <w:r>
        <w:rPr>
          <w:b/>
        </w:rPr>
        <w:t>E. 4.2</w:t>
      </w:r>
    </w:p>
    <w:p>
      <w:r>
        <w:t>Eine Prüfung der Verfügung der Vorinstanz auf eine etwaige Verletzung ihrer Prüf- und Begründungspflicht (vgl. zum Vorgehen statt vieler Urteil des BVGer F-4274/2023 vom 13. März 2024 E. 3) lässt aber weder eine Verletzung des Untersuchungsgrundsatzes (Art. 106 Abs. 1 Bst. b AsylG; Art. 49 Bst. b VwVG; vgl. ferner m.w.H. BGE 140 I 285 E. 6.3.1) noch der Begründungspflicht erkennen (Art. 35 Abs.1 VwVG; vgl. ferner auch m.w.H. BGE 145 IV 99 E. 3.1; 143 III 65 E. 5.2). Die Vorinstanz hat sich vertieft mit den Vorbringen der Beschwerdeführerin auseinandergesetzt. Es ist nicht ersichtlich, inwiefern sie noch konkretere Abklärungen hätte vornehmen müssen, zumal sie mit ihr ein frauenspezifisches erweitertes Dublin-Gespräch durchführte (vgl. SEM-act. 19/7) und verschiedene Arztberichte aktenkundig sind (siehe unten E. 6.3). Anhand einer Einzelfallprüfung hat die Vorinstanz schliesslich hinreichend nachvollziehbar begründet, von welchen Überlegungen sie sich, gerade auch in individueller Hinsicht, bei ihrem Entscheid leiten liess.</w:t>
      </w:r>
    </w:p>
    <w:p>
      <w:r>
        <w:rPr>
          <w:b/>
        </w:rPr>
        <w:t>E. 4.3</w:t>
      </w:r>
    </w:p>
    <w:p>
      <w:r>
        <w:t>Die formellen Rügen erweisen sich somit als unbegründet. Sie betreffen auch teilweise die Frage der unrichtigen Würdigung des Sachverhalts und sind materieller Art, worauf noch eingegangen wird. Der Eventualantrag zur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vom Mitgliedstaat geprüft, der nach den Kriterien des Kapitels III der Dublin-III-VO zuständig ist (vgl. auch Art. 7 Abs. 1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das SEM bei der Anwendung der Kann-Bestimmung von Art. 29a Abs. 3 AsylV 1 über einen Ermessensspielraum (vgl. BVGE 2015/9 E. 7 f.). Das Gericht überprüft daher den vorinstanzlichen Verzicht der Anwendung von Art. 29a Abs. 3 AsylV 1 nicht auf dessen Angemessenheit hin; es beschränkt seine Beurteilung darauf, ob die Vorinstanz den Sachverhalt korrekt und vollständig erhoben, allen wesentlichen Umständen Rechnung getragen und seinen Ermessensspielraum genutzt hat (vgl. Art. 106 Abs. 1 Bst. a und b AsylG).</w:t>
      </w:r>
    </w:p>
    <w:p>
      <w:r>
        <w:rPr>
          <w:b/>
        </w:rPr>
        <w:t>E. 6.1</w:t>
      </w:r>
    </w:p>
    <w:p>
      <w:r>
        <w:t>Die Vorinstanz hat korrekt erwogen, dass gemäss den Bestimmungen der Dublin-III-VO grundsätzlich Kroatien für die Behandlung des Asylgesuchs der Beschwerdeführerin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Beschwerdeführerin bezüglich der mutmasslich erlebten sexualisierten Gewalt durch andere Asylsuchende in Kroatien, den gewaltsamen Übergriffen durch kroatische Grenzpolizeibeamte sowie deren dokumentierten Gesundheitszustand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Beschwerdeführerin in Kroatien der Zugang zur benötigten medizinischen Behandlung offensteht und die dortige medizinische Infrastruktur ausreichend ist (vgl. bspw. Urteil des BVGer D-735/2022 vom 28. Februar 2022 E. 6.7.3). Auch beanstandet sie zurecht mit Verweis auf die gegen die Beschwerdeführerin bestehenden Einreiseverweigerung für Deutschland, dass die Aussagen der Beschwerdeführerin teilweise widersprüchlich ausgefallen sind (vgl. SEM-act. 15/10 und 17/4). Die Vorinstanz ist demnach berechtigterweise in Anwendung von Art. 31a Abs. 1 Bst. b AsylG auf das Asylgesuch der Beschwerdeführerin nicht eingetreten und hat gemäss Art. 44 AsylG ihre Wegweisung angeordnet. Zur näheren Begründung wird auf die vorinstanzlichen Erwägungen verwiesen.</w:t>
      </w:r>
    </w:p>
    <w:p>
      <w:r>
        <w:rPr>
          <w:b/>
        </w:rPr>
        <w:t>E. 6.2</w:t>
      </w:r>
    </w:p>
    <w:p>
      <w:r>
        <w:t>Was die Beschwerdeführerin auf Rechtsmittelebene vorbringt, vermag daran nichts zu ändern. Laut dem koordinierten Referenzurteil des BVGer E-1488/2020 vom 22. März 2023, welches die seit dem Referenzurteil D-1611/2016 vom 22. März 2016 bestehende Praxis bestätigt, sind Dublin-Überstellungen nach Kroatien grundsätzlich sowohl in "take-charge" (Aufnahme) als auch in "take back" (Wiederaufnahme)-Verfahren zulässig. Die weitschweifigen Ausführungen in der Beschwerdeschrift zur allgemeinen Situation in Kroatien sowie die zitierten Berichte vermögen den dieser Rechtsprechung zugrundeliegenden Informationen zur Situation in Kroatien keine neue Dimension hinzuzufügen, zumal sie teilweise nicht mehr aktuell sind (vgl. BVGer-act. 1, Rz. 38 und RTS, La Suisse vole au secours de Médecins du monde en Croatie, 15.09.2023, https://www.rts.ch/info/suisse/14315766-la-suisse-vole-au-secours-de-medecins-du-monde-en-croatie.html , abgerufen am 12.06.2024; demnach nahm die Hilfsorganisation Médecins du Monde zum Beispiel ihre Aktivitäten in Kroatien bereits im Herbst 2023 wieder auf). Die von der Beschwerdeführerin in Kroatien mutmasslich erlebten Vorfälle können ihrer Rückführung dorthin nicht grundsätzlich entgegenstehen. Das Gericht geht davon aus, dass sie sich nach der geregelten Dublin-Rücküberstellung in einer günstigeren - völkerrechtskonformen - Situation als bei ihrer ersten irregulären Einreise nach Kroatien befinden wird (vgl. Referenzurteil des BVGer E-1488/2020 E. 9.4; Urteil D-3332/2023 vom 22. Juni 2023 E. 7.2 m.w.H.). Weiter bestehen keine Anhaltspunkte dafür, Kroatien werde im Falle der Beschwerdeführerin den Grundsatz des Non-Refoulement missachten und sie zur Ausreise in ein Land zwingen, in dem ihr Leib, ihr Leben oder ihre Freiheit aus einem Grund nach Art. 3 Abs. 1 AsylG gefährdet wären oder in dem sie Gefahr laufen würden, zur Ausreise in ein solches Land gezwungen zu werden. Sie hat auch die Möglichkeit, nach einem allfälligen ungerechtfertigten negativen Ausgang ihres Asylverfahrens eine Beschwerde einzureichen (vgl. Urteil des BVGer D-5707/2023 vom 24. Oktober 2023 E. 8.3).</w:t>
      </w:r>
    </w:p>
    <w:p>
      <w:r>
        <w:rPr>
          <w:b/>
        </w:rPr>
        <w:t>E. 6.3</w:t>
      </w:r>
    </w:p>
    <w:p>
      <w:r>
        <w:t>Schliesslich sind den Akten auch keine Anhaltspunkte zu entnehmen, die es vorliegend als notwendig erscheinen lassen, von den kroatischen Behörden vorab individuelle Zusicherungen bezüglich der Überstellung, dem Zugang zum Asylverfahren oder zur Unterbringung einzuholen. Wie bereits ausgeführt (siehe oben E. 6.1), verfügt Kroatien über eine funktionierende Gesundheitsversorgung und ist verpflichtet, Asylsuchenden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Die schweizerischen Behörden, die mit dem Vollzug der angefochtenen Verfügung beauftragt sind, haben dem aktuellen Gesundheitszustand der Beschwerdeführerin bei der Überstellung zudem Rechnung zu tragen, indem sie die dortigen Behörden im Sinne von Art. 31 und Art. 32 Dublin-III-VO vorgängig über notwendige medizinische Behandlungen informieren. Der entsprechende Eventualantrag ist daher abzuweisen. Dasselbe gilt auch für das Rechtsbegehren, nach Einsicht der Akten bei der Vorinstanz die Beschwerde ergänzen zu dürfen. Der Beschwerdeführerin wurden zusammen mit ihrem Entscheid die editionspflichtigen Akten ausgehändigt (siehe oben Sachverhalt Bst. B.). Ein Akteneinsichtsgesuch ist nicht aktenkundig. Zur gesundheitlichen Verfassung der Beschwerdeführerin liegen bereits zahlreiche Arztberichte vor (vgl. BVGer-act. 1, Beilagen 4 und 5; SEM-act. 20/1, 21/2, 24/2, 25/7, 28/1, 29/1). Es ist somit nicht ersichtlich, dass von einer ergänzenden Eingabe rechtserhebliche neue Erkenntnisse zu gewinnen wären (zur antizipierten Beweiswürdigung vgl. BGE 141 I 60 E. 3.3; 136 I 229 E. 5.3).</w:t>
      </w:r>
    </w:p>
    <w:p>
      <w:r>
        <w:rPr>
          <w:b/>
        </w:rPr>
        <w:t>E. 7</w:t>
      </w:r>
    </w:p>
    <w:p>
      <w:r>
        <w:t>Die Vorinstanz ist nach dem Gesagten zu Recht in Anwendung von Art. 31a Abs. 1 Bst. b AsylG auf das Asylgesuch der Beschwerdeführerin nicht eingetreten und hat in Anwendung von Art. 44 AsylG deren Wegweisung nach Kroatien angeordnet. Die Beschwerde ist abzuweisen.</w:t>
      </w:r>
    </w:p>
    <w:p>
      <w:r>
        <w:rPr>
          <w:b/>
        </w:rPr>
        <w:t>E. 8</w:t>
      </w:r>
    </w:p>
    <w:p>
      <w:r>
        <w:t>Nach dem Gesagten ist die angefochtene Verfügung nicht zu beanstanden und die Beschwerde ist abzuweisen.</w:t>
      </w:r>
    </w:p>
    <w:p>
      <w:r>
        <w:rPr>
          <w:b/>
        </w:rPr>
        <w:t>E. 9.1</w:t>
      </w:r>
    </w:p>
    <w:p>
      <w:r>
        <w:t>Mit dem Entscheid in der Hauptsache sind die Gesuche um Erteilung der aufschiebenden Wirkung und um Verzicht auf die Erhebung eines Kostenvorschusses gegenstandslos geworden. Der am 7. Juni 2024 verfügte einstweilige Vollzugsstopp fällt mit dem vorliegenden Urteil dahin.</w:t>
      </w:r>
    </w:p>
    <w:p>
      <w:r>
        <w:rPr>
          <w:b/>
        </w:rPr>
        <w:t>E. 9.2</w:t>
      </w:r>
    </w:p>
    <w:p>
      <w:r>
        <w:t>Das Gesuch um Gewährung der unentgeltlichen Rechtspflege ist abzuweisen, da die Begehren - wie sich aus den vorstehenden Erwägungen ergibt - als offensichtlich aussichtslos zu bezeichnen sind (Art. 65 Abs. 1 VwVG).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