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F-3594/2024 vom 12. Juni 2024</w:t>
      </w:r>
    </w:p>
    <w:p>
      <w:r>
        <w:t>Bundesverwaltungsgericht, 2024-06-12, DE</w:t>
      </w:r>
    </w:p>
    <w:p>
      <w:r>
        <w:rPr>
          <w:b/>
        </w:rPr>
        <w:t xml:space="preserve">Quelle: </w:t>
      </w:r>
      <w:r>
        <w:t>https://mcp.opencaselaw.ch/entscheid/bvger_F-3594_2024</w:t>
      </w:r>
    </w:p>
    <w:p>
      <w:r>
        <w:t>FR: TAF F-3594/2024 du 12 juin 2024</w:t>
      </w:r>
    </w:p>
    <w:p>
      <w:r>
        <w:t>IT: TAF F-3594/2024 del 12 giugno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 [SR 142.31]).</w:t>
      </w:r>
    </w:p>
    <w:p>
      <w:r>
        <w:rPr>
          <w:b/>
        </w:rPr>
        <w:t>E. 1.2</w:t>
      </w:r>
    </w:p>
    <w:p>
      <w:r>
        <w:t>Gemäss Art. 105 AsylG in Verbindung mit Art. 31 VGG ist das Bundesverwaltungsgericht zur Beurteilung von Beschwerden auf dem Gebiet des Asyls zuständig. Es entscheidet über diese in der Regel - wie auch vorliegend - endgültig (vgl. Art. 83 Bst. d Ziff. 1 BGG). Der Beschwerdeführer ist zur Einreichung der Beschwerde legitimiert (Art. 105 AsylG und Art. 48 Abs. 1 VwVG). Auf die frist- und formgerecht eingereichte Beschwerde ist somit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4.1</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Das Wiederaufnahmeverfahren gestützt auf Art. 18 Abs. 1 Bst. d Dublin-III-VO (abgelehntes Asylgesuch) kommt nur dann zur Anwendung, wenn die antragstellende Person über keinen Aufenthaltstitel im Sinne von Art. 2 Bst. l Dublin-III-VO verfügt (Christian Filzwieser/Andrea Sprung, Dublin-III-Verordnung, 2014, K12 zu Art. 18).</w:t>
      </w:r>
    </w:p>
    <w:p>
      <w:r>
        <w:rPr>
          <w:b/>
        </w:rPr>
        <w:t>E. 4.2</w:t>
      </w:r>
    </w:p>
    <w:p>
      <w:r>
        <w:t>Besitzt eine antragstellende Person einen gültigen Aufenthaltstitel, so ist grundsätzlich der Mitgliedstaat, der den Aufenthaltstitel erteilt hat, für die Prüfung des Antrags auf internationalen Schutz zuständig (Art. 12 Abs. 1 Dublin-III-VO).</w:t>
      </w:r>
    </w:p>
    <w:p>
      <w:r>
        <w:rPr>
          <w:b/>
        </w:rPr>
        <w:t>E. 4.3</w:t>
      </w:r>
    </w:p>
    <w:p>
      <w:r>
        <w:t>Der Beschwerdeführer verfügt über eine bis zum 6. September 2025 gültige Aufenthaltsbewilligung im Sinne von Art. 2 Bst. l Dublin-III-VO (schwedische Identitätskarte). Die schwedischen Behörden liessen das Übernahmeersuchen der Vorinstanz nach Art. 12 Dublin-III-VO innert der in Art. 22 Abs. 6 Dublin-III-VO vorgesehenen Frist unbeantwortet, womit sie ihre Zuständigkeit implizit anerkannten (Art. 22 Abs. 7 Dublin-III-VO). Die grundsätzliche Zuständigkeit Schwedens ist somit gegeben und wird vom Beschwerdeführer auch nicht bestritten.</w:t>
      </w:r>
    </w:p>
    <w:p>
      <w:r>
        <w:rPr>
          <w:b/>
        </w:rPr>
        <w:t>E. 5</w:t>
      </w:r>
    </w:p>
    <w:p>
      <w:r>
        <w:t>Der Beschwerdeführer bringt zu Recht nicht vor, dass in Schweden systemische Schwachstellen i.S.v. Art. 3 Abs. 2 zweiter und dritter Satz Dublin-III-VO, die eine Gefahr einer unmenschlichen Behandlung im Sinne von Art. 4 der EU-Grundrechtecharta und Art. 3 EMRK mit sich bringen würden, vorlägen.</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6.2</w:t>
      </w:r>
    </w:p>
    <w:p>
      <w:r>
        <w:t>Schweden ist ein funktionierender Rechtsstaat und die Behörden sind gewillt und fähig, staatlichen Schutz zu gewähren. Ein negativer Asylentscheid der schwedischen Behörden, wie ihn der Beschwerdeführer erhalten hat, bildet kein Überstellungshindernis. Konkrete Anhaltspunkte dafür, dass die dortigen Behörden seinen Antrag auf internationalen Schutz nicht unter Einhaltung der Verfahrensrichtlinie geprüft oder das Asylverfahren mangelhaft durchgeführt hätten, sind nicht ersichtlich und werden vom Beschwerdeführer auch nicht geltend gemacht. In diesem Zusammenhang ist der Vollständigkeit halber festzustellen,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 8.5.3.3).</w:t>
      </w:r>
    </w:p>
    <w:p>
      <w:r>
        <w:rPr>
          <w:b/>
        </w:rPr>
        <w:t>E. 6.3</w:t>
      </w:r>
    </w:p>
    <w:p>
      <w:r>
        <w:t>Die Vorinstanz hat das Selbsteintrittsrecht gemäss Art. 17 Dublin-III-VO sowie Art. 29a Abs. 3 AsylV 1 zu Recht nicht ausgeübt. Weder ist die Schweiz völkerrechtlich verpflichtet, auf das Asylgesuch einzutreten, noch liegen humanitäre Gründe vor, welche einen Selbsteintritt nahelegen würden. Auch das Vorbringen in der Beschwerde, wonach der Beschwerdeführer seine heimatliche Staatangehörigkeit verlieren könnte, ändert an dieser Einschätzung nichts, zumal es auch nicht belegt ist.</w:t>
      </w:r>
    </w:p>
    <w:p>
      <w:r>
        <w:rPr>
          <w:b/>
        </w:rPr>
        <w:t>E. 7</w:t>
      </w:r>
    </w:p>
    <w:p>
      <w:r>
        <w:t>Nach dem Gesagten ist die angefochtene Verfügung nicht zu beanstanden und die Beschwerde ist abzuweisen.</w:t>
      </w:r>
    </w:p>
    <w:p>
      <w:r>
        <w:rPr>
          <w:b/>
        </w:rPr>
        <w:t>E. 8</w:t>
      </w:r>
    </w:p>
    <w:p>
      <w:r>
        <w:t>Mit vorliegendem Urteil fällt der am 7. Juni 2024 angeordnete Vollzugsstopp dahin. Die Gesuche um Gewährung der aufschiebenden Wirkung der Beschwerde und um Verzicht auf die Erhebung eines Kostenvorschusses sind mit heutigem Entscheid gegenstandslos geworden.</w:t>
      </w:r>
    </w:p>
    <w:p>
      <w:r>
        <w:rPr>
          <w:b/>
        </w:rPr>
        <w:t>E. 9.1</w:t>
      </w:r>
    </w:p>
    <w:p>
      <w:r>
        <w:t>Das Gesuch um Gewährung der unentgeltlichen Prozessführung (Art. 65 Abs. 1 VwVG) und um amtliche Rechtvertretung (Art. 102m Abs. 1 AsylG) sind abzuweisen, da die Begehren als aussichtslos zu bezeichnen sind und dies auch schon im Zeitpunkt der Gesuchstellung waren (Art. 65 Abs. 1 VwVG).</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