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F-3587/2017 vom 24. November 2017</w:t>
      </w:r>
    </w:p>
    <w:p>
      <w:r>
        <w:t>Bundesverwaltungsgericht, 2017-11-24, DE</w:t>
      </w:r>
    </w:p>
    <w:p>
      <w:r>
        <w:rPr>
          <w:b/>
        </w:rPr>
        <w:t xml:space="preserve">Quelle: </w:t>
      </w:r>
      <w:r>
        <w:t>https://mcp.opencaselaw.ch/entscheid/bvger_F-3587_2017</w:t>
      </w:r>
    </w:p>
    <w:p>
      <w:r>
        <w:t>FR: TAF F-3587/2017 du 24 novembre 2017</w:t>
      </w:r>
    </w:p>
    <w:p>
      <w:r>
        <w:t>IT: TAF F-3587/2017 del 24 novembre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2 ist als Einsprecher zur Beschwerde legitimiert (Art. 48 Abs. 1 VwVG). Dies gilt auch für die Beschwerdeführerin 1, die als privatrechtliche juristische Person, handelnd durch A._______ (Mitglied des Verwaltungsrates [vgl. SEM act. 4/36]), partei- und prozessfähig ist.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Die Beschwerdeführenden machen in formeller Hinsicht vorerst eine Verletzung ihres Anspruchs auf rechtliches Gehör geltend. So habe das SEM die Schilderungen der Gastgeberin gegenüber dem Migrationsamt des Kantons Zürich sowie jene in der Einsprache ausser Acht gelassen und die Abweisung der Einsprache nur schematisch begründet. Die Behörde habe hingegen die Pflicht, alle erheblichen und rechtzeitigen Vorbringen einer Partei zu würdigen und ihren Entscheid nach Würdigung aller Umstände entsprechend zu begründen (Art. 35 VwVG). Im Wesentlichen wird diesbezüglich ausgeführt, die Vorinstanz habe sich insbesondere nicht damit auseinandergesetzt, dass der Beschwerdeführer 2 sein Medizinstudium in einem Jahr abschliessen werde. Das Studium falle ebenfalls unter die von der Vorinstanz erwähnten "beruflichen Verpflichtungen". Dieser Umstand sei gewichtig genug, um den Beschwerdeführer 2, der ohnehin nie beabsichtigt habe, permanent in Europa Wohnsitz zu nehmen, zur Rückkehr nach Kuba zu bewegen. Die Ausbildung der Ärzte und die medizinische Versorgung seien in Kuba bekanntermassen auf hohem Niveau. Entsprechend habe er dort einen vergleichsweise hohen Lebensstil. Zudem seien kubanische Ärzte und Krankenschwestern im letzten Jahr von der zweituntersten Lohngruppe auf den viertobersten Platz aufgestiegen. Er gehöre als bald ausgebildeter Arzt nicht zu denjenigen Kubanern, die aufgrund Perspektivenlosigkeit die Flucht ins Ausland antreten würden. Er habe zudem seinen Aufenthalt in der Schweiz von der Universität bewilligen lassen müssen. Kehre er nicht fristgerecht zurück, könne er sein Studium nicht wieder aufnehmen. Die Vorinstanz setze sich damit gar nicht auseinander, sondern führe eine lediglich pauschale Begründung an. Weiter habe sich das SEM auch nicht mit der Garantieerklärung der Beschwerdeführerin 1, dem Motiv des Besuchs und dem beruflichen und persönlichen Hintergrund der Beschwerdeführerin 1 auseinandergesetzt. Diese sei - so wird unter anderem ausgeführt - eine Einmannaktiengesellschaft, die im Besitz von Herrn A._______ sei. Die Firma sei im Sicherheitsbereich tätig. Ein Strafverfahren im Falle, dass der Beschwerdeführer 2 nicht ausreise, wäre enorm geschäftsschädigend. Herr A._______ sei durch und durch integer und werde dafür besorgt sein, dass sein Gast den Schengenraum rechtzeitig wieder verlasse. Er habe die Familie des Beschwerdeführers 2 bei einem seiner vielen Besuche in Kuba kennengelernt. Da man über gemeinsame Interessen verfüge, sei man ins Gespräch gekommen und er sei spontan zum Nachtessen eingeladen worden. Der Beschwerdeführer 2 habe ihn mehrfach als Guide auf seinen Rundreisen in Kuba begleitet. Die Familie habe dem jetzigen Gastgeber viel über die kubanische Kultur und das Land beigebracht. Er möchte der Familie etwas zurückgeben, indem er den Beschwerdeführer 2 nun in die Schweiz einlade.</w:t>
      </w:r>
    </w:p>
    <w:p>
      <w:r>
        <w:rPr>
          <w:b/>
        </w:rPr>
        <w:t>E. 3.2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2008/47 E. 3.2 S. 674 f.).</w:t>
      </w:r>
    </w:p>
    <w:p>
      <w:r>
        <w:rPr>
          <w:b/>
        </w:rPr>
        <w:t>E. 3.3</w:t>
      </w:r>
    </w:p>
    <w:p>
      <w:r>
        <w:t>Diesen Anforderungen vermag die angefochtene Verfügung zu genügen. Das SEM stützte sich auf die bei der Schweizerischen Auslandvertretung einverlangten Gesuchsunterlagen, die Einsprache vom 5. Mai 2017 und auf die von der kantonalen Migrationsbehörde eingereichten Dokumente der Inlandabklärung inkl. diverser Beilagen der Gastgeberin. Der Begründung kann entnommen werden, dass das SEM nebst der allgemeinen Lage in Kuba auch die persönliche Situation des Beschwerdeführers 2 in rechtsgenüglicher Weise gewürdigt hat. Aus der Begründung ergibt sich denn auch ohne Weiteres, wieso es auf eine nicht hinreichende Gewähr für eine fristgerechte Rückkehr schloss. So ging das SEM von fehlenden besonderen Verpflichtungen im Heimatland aus (der Beschwerdeführer 2 sei jung, ledig und kinderlos und stehe als Medizinstudent nicht in einem festen Arbeitsverhältnis). Weiter ist aus der Verfügung ersichtlich, dass sich die Vorinstanz mit den Ausführungen bzw. gegenteiligen Zusicherungen der Gastgeberin - an deren Integrität sie nicht zweifelt - auseinandergesetzt hat, diese jedoch ihrer Meinung nach keine Gewähr für eine fristgerechte Wiederausreise bieten könnten. Dass das SEM nicht ausdrücklich auf das Motiv der Einladung einging, ist dahingehend zu deuten, dass es dem diesbezüglichen Vorbringen keine Rechtserheblichkeit zusprach. Damit ist die Vorinstanz ihrer Prüfungs- und Begründungspflicht hinreichend nachgekommen. Den Beschwerdeführenden war es mithin möglich, den Entscheid sachgerecht anzufechten.</w:t>
      </w:r>
    </w:p>
    <w:p>
      <w:r>
        <w:rPr>
          <w:b/>
        </w:rPr>
        <w:t>E. 3.4</w:t>
      </w:r>
    </w:p>
    <w:p>
      <w:r>
        <w:t>Replikweise wird geltend gemacht, die zuständige Botschaft habe zum Beurteilungspunkt des Schengen-Visums nicht über sämtliche Unterlagen verfügt, um die Angelegenheit abschliessend beurteilen zu können; daraus müsse geschlossen werden, dass die zuständige Behörde sich lediglich auf pauschalisierte Annahmen gestützt habe, als sie das Visumgesuch abgelehnt habe. Dabei gilt es zu beachten, dass der Anfechtungsgegenstand der vorliegenden Beschwerde lediglich die Verfügung des SEM vom 16. Juni 2017 sein kann (vgl. BVGE 2015/5 E. 6.2). Ergänzend ist anzufügen, dass die Schweizerische Vertretung ihrer in Art. 12 VwVG statuierten Pflicht, den entscheidwesentlichen Sachverhalt von Amtes wegen festzustellen, in casu genügend nachgekommen ist (zur Mitwirkungspflicht der Beschwerdeführenden vgl. Art. 13 Abs. 1 Bst. a VwVG), konnte sie sich doch, nebst den Angaben im Visumgesuch und dem Fragebogen vom 12. April 2017, auf diverse weitere Unterlagen - darunter das Einladungsschreiben vom 28. Januar 2017 - stützen (siehe Akten der Schweizerischen Vertretung [SEM act. 4/29-52] sowie Sachverhalt Bst. A).</w:t>
      </w:r>
    </w:p>
    <w:p>
      <w:r>
        <w:rPr>
          <w:b/>
        </w:rPr>
        <w:t>E. 3.5</w:t>
      </w:r>
    </w:p>
    <w:p>
      <w:r>
        <w:t>Mit diesen Ausführungen erweisen sich die formellen Rügen als nicht begründet. Die Frage, ob die Vorinstanz bei der Einzelfallbeurteilung zu Recht zu einer anderen Schlussfolgerung gelangte als die Beschwerdeführenden bildet Gegenstand der nachfolgenden materiell-rechtlichen Beurteilung der Beschwerde.</w:t>
      </w:r>
    </w:p>
    <w:p>
      <w:r>
        <w:rPr>
          <w:b/>
        </w:rPr>
        <w:t>E. 4</w:t>
      </w:r>
    </w:p>
    <w:p>
      <w:r>
        <w:t>Der angefochtenen Verfügung liegt das Gesuch eines kubanischen Staatsangehörigen um Erteilung eines Visums für einen 50-tägigen Aufenthalt (vom 12. Juli bis 30. August 2017) in der Schweiz zugrunde. Da sich der Beschwerdeführer 2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5.2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5.3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Caroni/Gächter/Thurnherr [Hrsg.],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seiner Staatszugehörigkeit unterliegt der Beschwerdeführer 2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des Beschwerdeführers 2 als nicht genügend gewährleistet. Zur Einschätzung entsprechender Risiken sind sämtliche Umstände des konkreten Einzelfalles zu würdigen.</w:t>
      </w:r>
    </w:p>
    <w:p>
      <w:r>
        <w:rPr>
          <w:b/>
        </w:rPr>
        <w:t>E. 6.2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6.3</w:t>
      </w:r>
    </w:p>
    <w:p>
      <w:r>
        <w:t>Kubas Wirtschaft, die nach wie vor planwirtschaftlich gelenkt wird, ist im Jahr 2016 um 0,9% geschrumpft. Die Bemühungen des Staates um eine Reduzierung der Importe wirken sich zwar aus, aber nennenswerte Steigerungen der Exporte sind noch nicht zu erkennen. Der auch 2015 vermeldete Überschuss in der Zahlungsbilanz dürfte vor allem dem Dienstleistungsexport geschuldet sein (Tourismus und Gesundheitswesen), erreichte aber mit 2,4 Mrd. Pesos einen Tiefstand aufgrund deutlich gesunkener Exporterlöse. Die Inflationsrate wird für 2016 mit 4,5% angegeben, die vor allem Folge höherer Lebensmittelpreise sein dürfte, die Arbeitslosenquote wird mit 2,4% angegeben. Nach offiziellen Angaben betrug das Haushaltsdefizit im Jahr 2015 4,9% des BIP. Das BIP wird für das Jahr 2015 offiziell mit 87 Mrd. Pesos angegeben. Eine zuverlässige Berechnung des kubanischen BIP ist derzeit aber kaum möglich, da die beiden Währungen CUC ("konvertibler" Peso, 1:1 zum USD) und CUP ("Peso Cubano") vermischt werden. Einige Staatsausgaben werden in CUP (vor allem Gehälter) und andere in CUC (vor allem Exporte) berechnet. Kuba ist bestrebt, das doppelte Währungssystem abzuschaffen, aber es ist ungeklärt, zu welchen Bedingungen und über welchen Zeitraum hinweg die beiden Währungen zusammengeführt werden sollen. Das staatliche monatliche Durchschnittseinkommen in Kuba beträgt derweil 710 CUP, also knapp 28 CUC bzw. USD (vgl. zum Ganzen auch www.auswaertiges-amt.de, Aussen- und Europapolitik, Länderinformationen: Länder A - Z, Kuba, Wirtschaft, Stand: März 2017, besucht im Oktober 2017).</w:t>
      </w:r>
    </w:p>
    <w:p>
      <w:r>
        <w:rPr>
          <w:b/>
        </w:rPr>
        <w:t>E. 6.4</w:t>
      </w:r>
    </w:p>
    <w:p>
      <w:r>
        <w:t>Noch immer ist bei der kubanischen Bevölkerung ein Trend zur Emi-gration festzustellen. So ist, nicht zuletzt aufgrund der inzwischen seit Anfang 2013 zugelassenen Reisefreiheit für die meisten Kubaner die Zahl der Migranten Richtung USA auf über 60'000 pro Jahr gestiegen. Darunter auch Tausende aus Kuba in Drittländer entsandte Ärzte und Krankenpfleger, welche die Gelegenheit zur Flucht in die USA nutzten. Die Praxis, Medizinpersonal bevorzugt Visa zu gewähren, wurde mittlerweile vom ehemaligen amerikanischen Präsidenten Barack Obama kurz vor dem Ende seiner Amtszeit aufgehoben (vgl. zum Ganzen auch www.auswaertiges-amt.de, Aussen- und Europapolitik, Länderinformationen: Länder A - Z, Kuba, Aussenpolitik, Stand: März 2017, besucht im Oktober 2017 und Peter Gaupp, Neue US-Politik gegenüber kubanischen Migranten: Schicksalsmoment auf der Brücke von Laredo; NZZ vom 14. Januar 2017). Nebst den Vereinigten Staaten, als häufigstes Ziel kubanischer Staatsangehörigen, ist für die Wahl des Auswanderungslandes häufig auch ein anderswo bereits bestehendes soziales Beziehungsnetz (Familie, Freunde) ausschlaggebend.</w:t>
      </w:r>
    </w:p>
    <w:p>
      <w:r>
        <w:rPr>
          <w:b/>
        </w:rPr>
        <w:t>E. 6.5</w:t>
      </w:r>
    </w:p>
    <w:p>
      <w:r>
        <w:t>In Anbetracht dieser Umstände ist nicht zu beanstanden, wenn die Vor-instanz das Risiko einer nicht fristgerechten Wiederausreise mit Bezug auf gesuchstellende Personen aus Kuba allgemein als erheblich einschätzt. Allerdings sind bei der Risikoanalyse neben allgemeinen Umständen und Erfahrungen auch sämtliche Gesichtspunkte des konkreten Einzelfalls zu berücksichtigen. In beweisrechtlicher Hinsicht ist festzuhalten, dass ein Visum nur erteilt werden darf, wenn keine begründeten Zweifel an der Absicht gesuchstellender Personen bestehen, den Schengen-Raum vor Ablauf des Visums wieder zu verlassen (BVGE 2014/1 E. 4.4 und E. 6.3.1 je m.H.).</w:t>
      </w:r>
    </w:p>
    <w:p>
      <w:r>
        <w:rPr>
          <w:b/>
        </w:rPr>
        <w:t>E. 7.1</w:t>
      </w:r>
    </w:p>
    <w:p>
      <w:r>
        <w:t>Beim Beschwerdeführer 2 handelt es sich um einen 22-jährigen kinderlosen und unverheirateten Mann. Gemäss den Akten lebe er mit seiner Mutter und deren Lebenspartner zusammen. Auch seine Schwester und ihre Familie lebten in Kuba (SEM act. 7/66). Mangels anderslautenden Vorbringen kann davon ausgegangen werden, dass weder im persönlichen noch im familiären Umfeld partikuläre Verpflichtungen vorhanden sind, die eine besondere Gewähr für eine Rückkehr ins Heimatland bieten könnten.</w:t>
      </w:r>
    </w:p>
    <w:p>
      <w:r>
        <w:rPr>
          <w:b/>
        </w:rPr>
        <w:t>E. 7.2</w:t>
      </w:r>
    </w:p>
    <w:p>
      <w:r>
        <w:t>Rechtsmittelweise wird hingegen auf berufliche Verpflichtungen in Kuba verwiesen, welche sich aus dem Umstand ableiten liessen, dass der Beschwerdeführer 2 in einem Jahr sein Medizinstudium abschliessen werde. Aufgrund seiner bald abgeschlossen Ausbildung, der damit einhergehenden Aussicht auf eine erfolgreiche berufliche Zukunft in Kuba und seiner dortigen Verwurzelung sei die Wiederausreise klar gegeben (Rz. 9 und Rz. 13 ebenda). Bereits im Einspracheverfahren wurde geltend gemacht, der Beschwerdeführer 2 sei Medizinstudent; er werde nach seiner Rückkehr sein Studium wieder aufnehmen (vgl. SEM act. 7/66). Den Akten ist auch ein Schreiben der Universität des Beschwerdeführers 2 vom 3. April 2017 zu entnehmen (SEM act. 7/56). Auch wenn vorliegend nicht bezweifelt wird, dass es sich beim Beschwerdeführer 2 um einen Medizinstudenten handelt, so gilt es darauf hinzuweisen, dass weder in der Beschwerde noch im vorinstanzlichen Verfahren Hinweise zur konkreten finanziellen Situation des Beschwerdeführers 2 gemacht oder entsprechende Dokumente eingereicht wurden (bspw. Kontoauszüge, Lohnabrechnungen usw.). So bleibt offen, wie er seinen Lebensunterhalt finanziert bzw. in welchen wirtschaftlichen Verhältnissen er sich in Kuba befindet. Unbehelflich ist dabei der Einwand, den Beschwerdeführer 2 erwarte dereinst nach abgeschlossenem Medizinstudium in Kuba ein vergleichsweise hoher Lebensstil (vgl. Beschwerde Rz. 9), kann daraus doch nicht per se abgeleitet werden, er befinde sich aktuell in wirtschaftlich soliden Verhältnissen. Der Hinweis auf eine (allfällige) positive Zukunft vermag jedenfalls das Risiko einer nicht fristgerechten Rückkehr nicht entscheidend zu verringern. Letztlich durfte die Vorinstanz bei ihrer Entscheidfindung auch den beruflichen Werdegang bzw. die Studienrichtung (vgl. oben E. 6.4) des Beschwerdeführers 2 miteinbeziehen.</w:t>
      </w:r>
    </w:p>
    <w:p>
      <w:r>
        <w:rPr>
          <w:b/>
        </w:rPr>
        <w:t>E. 7.3</w:t>
      </w:r>
    </w:p>
    <w:p>
      <w:r>
        <w:t>Vor dem dargelegten allgemeinen und persönlichen Hintergrund durfte die Vorinstanz davon ausgehen, dass keine hinreichende Gewähr für eine fristgerechte und anstandslose Wiederausreise des Beschwerdeführers 2 nach einem Besuchsaufenthalt besteht. An dieser Beurteilung vermögen auch die Garantieerklärung und Zusicherungen der Beschwerdeführerin 1 sowie deren beruflicher und persönlicher Hintergrund nichts zu ändern. Bei der Abwägung des Risikos einer fristgerechten Wiederausreise sind nicht die Einstellung und die Absicht des Gastgebers, sondern in erster Linie das Verhalten der eingeladenen Person von Bedeutung. Nur letztere selbst ist denn auch in der Lage, hinreichend Gewähr für eine fristgerechte und anstandslose Wiederausreise zu bieten. Die Beschwerdeführerin 1 kann zwar für gewisse finanzielle Risiken (Lebenshaltungskosten während des Besuchsaufenthalts, allfällige nicht von einer Versicherung gedeckte Kosten für Unfall und Krankheit sowie Repatriierung) Garantie leisten, nicht aber - mangels rechtlicher und faktischer Durchsetzbarkeit - für ein bestimmtes Verhalten ihres Gastes (vgl. BVGE 2009/27 E. 9; vgl. dazu auch Vernehmlassung vom 14. Juli 2017). Mit diesen Ausführungen sind ebenso die Vorbringen der Beschwerdeführenden in Bezug auf das Motiv der Einladung nicht entscheidwesentlich.</w:t>
      </w:r>
    </w:p>
    <w:p>
      <w:r>
        <w:rPr>
          <w:b/>
        </w:rPr>
        <w:t>E. 7.4</w:t>
      </w:r>
    </w:p>
    <w:p>
      <w:r>
        <w:t>Ist die Wiederausreise solchermassen nicht als gesichert zu betrachten, darf nach dem bereits Gesagten ein Visum für den gesamten Schengen-Raum nicht erteilt werden. Die Beschwerdeführenden machen sodann keine - z.B. humanitären - Gründe für die Erteilung eines Visums mit räumlich beschränkter Gültigkeit geltend; solche Gründe sind auch aus den Akten nicht ersichtlich.</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sind die Kosten den Beschwerdeführenden aufzuerlegen (vgl.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