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F-3586/2019 vom 12. April 2021</w:t>
      </w:r>
    </w:p>
    <w:p>
      <w:r>
        <w:t>Bundesverwaltungsgericht, 2021-04-12, IT</w:t>
      </w:r>
    </w:p>
    <w:p>
      <w:r>
        <w:rPr>
          <w:b/>
        </w:rPr>
        <w:t xml:space="preserve">Quelle: </w:t>
      </w:r>
      <w:r>
        <w:t>https://mcp.opencaselaw.ch/entscheid/bvger_F-3586_2019</w:t>
      </w:r>
    </w:p>
    <w:p>
      <w:r>
        <w:t>FR: TAF F-3586/2019 du 12 avril 2021</w:t>
      </w:r>
    </w:p>
    <w:p>
      <w:r>
        <w:t>IT: TAF F-3586/2019 del 12 aprile 2021</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26 giugno 2019, che non rientra peraltro nell'elenco dell'art. 32 LTAF, costituisce una decisione ai sensi dell'art. 5 cpv. 1 PA, dimodoché questo Tribunale è competente a giudicare il presente ricorso in quanto autorità di grado inferiore al Tribunale federale (cfr. art. 1 cpv. 2 LTAF in relazione con l'art. 11 cpv.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la sentenza del Tribunale federale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ha impugnato la decisione della SEM, di cui è il destinatario, tempestivamente e nel rispetto dei requisiti previsti dalla legge, versando inoltre l'anticipo spese richiesto. Ne deriva che il ricorso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26 giugno 2019, pronunciante un divieto d'entrata in Svizzera e nel Liechtenstein di quattro anni (26.6.2019 - 25.6.2023), di cui il ricorrente chiede l'annullamento.</w:t>
      </w:r>
    </w:p>
    <w:p>
      <w:r>
        <w:rPr>
          <w:b/>
        </w:rPr>
        <w:t>E. 4</w:t>
      </w:r>
    </w:p>
    <w:p>
      <w:r>
        <w:t>L'ALC è applicabile ratione temporis, ratione personae e ratione materiae alla fattispecie, nella misura in cui il ricorrente, in quanto cittadino romeno, è titolare dei diritti in esso consacrati (libertà di circolazione), i quali consistono nel diritto d'ingresso (art. 3 ALC e art. 1 §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 La presente procedura concerne principalmente il diritto d'ingresso in Svizzera, di cui la decisione impugnata restringe l'esercizio da parte del ricorrente (deroga alla libertà di circolazione; cfr. anche DTF 143 IV 97). Di conseguenza, bisogna nel prosieguo verificare se la SEM, nel pronunciare il divieto d'entrata in sé e nel fissarne la durata a quattro anni, si sia conformata alle esigenze poste dall'ALC, secondo il quale i diritti da esso conferiti, in particolare il diritto d'ingresso, possono essere limitati soltanto da misure giustificate da motivi di ordine pubblico, pubblica sicurezza e pubblica sanità (cfr. artt. 1 § 1 e 5 § 1 allegato I ALC).</w:t>
      </w:r>
    </w:p>
    <w:p>
      <w:r>
        <w:rPr>
          <w:b/>
        </w:rPr>
        <w:t>E. 5</w:t>
      </w:r>
    </w:p>
    <w:p>
      <w:r>
        <w:t>Considerato che l'ALC non regola espressamente i divieti d'entrata in quanto tali, bisogna partire dal presupposto che si applica il diritto interno svizzero anche ai divieti d'entrata nei confronti di cittadini dell'Unione europea, come si può desumere dall'art. 24 dell'ordinanza del 22 maggio 2002 concernente l'introduzione graduale della libera circolazione delle persone tra la Confederazione svizzera e l'Unione europea e i suoi Stati membri (OLCP, RS 142.203). È quindi applicabile la legge federale sugli stranieri del 16 dicembre 2005 (LStr), che regola i divieti d'entrata all'art. 67, la quale è stata, con effetto dal 1° gennaio 2019, ridenominata legge federale sugli stranieri e la loro integrazione (LStrI, RS 142.20).</w:t>
      </w:r>
    </w:p>
    <w:p>
      <w:r>
        <w:rPr>
          <w:b/>
        </w:rPr>
        <w:t>E. 6.1</w:t>
      </w:r>
    </w:p>
    <w:p>
      <w:r>
        <w:t>La SEM può vietare l'entrata in Svizzera allo straniero che ha violato o espone a pericolo l'ordine e la sicurezza pubblici in Svizzera o all'estero (art. 67 cpv. 2 lett. a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w:t>
      </w:r>
    </w:p>
    <w:p>
      <w:r>
        <w:rPr>
          <w:b/>
        </w:rPr>
        <w:t>E. 6.2</w:t>
      </w:r>
    </w:p>
    <w:p>
      <w:r>
        <w:t>Il divieto d'entrata è pronunciato per una durata massima di cinque anni; può essere pronunciato per una durata più lunga se l'interessato costituisce un grave pericolo per l'ordine e la sicurezza pubblici (art. 67 cpv. 3 LStrI). Questa graduazione delle durate (inferiori o superiori a cinque anni) risulta dal recepimento, da parte della Svizzera, dell'art. 11 § 2 della direttiva 2008/115/CE del Parlamento europeo e del Consiglio del 16 dicembre 2008 (direttiva sul rimpatrio; Gazzetta ufficiale [GU]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n. 147 relativa all'art. 67 LStrI; cfr. anche DTF 139 II 121 consid. 5.1 e 6.3).</w:t>
      </w:r>
    </w:p>
    <w:p>
      <w:r>
        <w:rPr>
          <w:b/>
        </w:rPr>
        <w:t>E. 6.3</w:t>
      </w:r>
    </w:p>
    <w:p>
      <w:r>
        <w:t>Le nozioni di ordine pubblico, di pubblica sicurezza e di pubblica sanità, secondo l'art. 5 § 1 allegato I ALC, vanno intese nel senso definito dalla direttiva 64/221/CEE del Consiglio del 25 febbraio 1964 e dalla relativa giurisprudenza della Corte di giustizia delle Comunità europee (CGCE; dal 1° dicembre 2009, la Corte di giustizia dell'Unione europea [CGUE]), precedente la sottoscrizione dell'ALC (art. 5 § 2 allegato I ALC in relazione con l'art. 16 § 2 ALC). Così, le deroghe alla libera circolazione garantita dall'ALC devono essere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quest'ottica, una condanna penale può essere considerata per limitare i diritti conferiti dall'ALC soltanto se, dalle circostanze che l'hanno determinata, emerga un comportamento personale costituente una minaccia attuale per l'ordine pubblico (cfr. DTF 134 II 10 consid. 4.3, 130 II 176 consid. 3.4.1, 129 II 215 consid. 7.4, con i rinvii alla giurisprudenza della CGUE).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(cfr. la sentenza del Tribunale federale 2C_903/2010 del 6 giugno 2011 consid. 4.3.2 e DTF 136 II 5 consid. 4.2).</w:t>
      </w:r>
    </w:p>
    <w:p>
      <w:r>
        <w:rPr>
          <w:b/>
        </w:rPr>
        <w:t>E. 6.4</w:t>
      </w:r>
    </w:p>
    <w:p>
      <w:r>
        <w:t>Riassumendo le esigenze poste dal diritto interno, dall'ALC e dalla giurisprudenza della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anni: cfr. DTAF 2014/20 consid. 7), e ciò indipendentemente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concretamente, con riferimento agli atti di causa (cfr. Marc Spescha, in: Spescha et al. [editori],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 § 1 del Trattato sul funzionamento dell'Unione europea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rPr>
          <w:b/>
        </w:rPr>
        <w:t>E. 6.5</w:t>
      </w:r>
    </w:p>
    <w:p>
      <w:r>
        <w:t>È ancora pertinente sottolineare che, secondo una giurisprudenza consolidata, l'autorità amministrativa non è, in virtù del principio della separazione dei poteri, vincolata dalle considerazioni del giudice penale. Tenuto conto delle finalità differenti perseguite dalla sanzione penale e dal divieto d'entrata, in linea di principio indipendenti l'una dall'altro, entrambe le misure possono coesistere ed applicarsi ad una medesima fattispecie. Un divieto d'entrata può essere adottato anche in assenza di un giudizio penale, sia per la mancata apertura di un procedimento penale, sia a causa della pendenza dello stesso. È sufficiente che l'autorità amministrativa, fondandosi sul proprio apprezzamento dei mezzi di prova, giunga alla conclusione che le condizioni per emanare un divieto d'entrata siano soddisfatte. Pertanto, l'autorità amministrativa valuta sulla base di criteri autonomi se l'allontanamento dalla Svizzera di uno straniero sia necessario ed opportuno, e può quindi giungere a conclusioni differenti da quelle ritenute dal giudice penale (cfr., tra le altre, DTF 140 I 145 consid. 4.3 e 137 II 233 consid. 5.2.2, nonché le sentenze TAF F-2303/2019 del 23 febbraio 2021 consid. 7.1.2 e C-2463/2013 del 7 maggio 2015 consid. 8.4).</w:t>
      </w:r>
    </w:p>
    <w:p>
      <w:r>
        <w:rPr>
          <w:b/>
        </w:rPr>
        <w:t>E. 7</w:t>
      </w:r>
    </w:p>
    <w:p>
      <w:r>
        <w:t>In prosieguo importa stabilire se le condizioni per emettere un divieto d'entrata in sé (minaccia almeno di una certa gravità) fossero adempiute il 26 giugno 2019 (cfr. le sentenze del Tribunale federale 2C_66/2018 del 7 maggio 2018 consid. 5.3.1 e 2C_784/2014 del 24 aprile 2015 consid. 3.2 in fine); nell'affermativa, bisognerà precisare l'intensità della gravità della minaccia (minaccia solo di una certa gravità o minaccia grave). È doveroso puntualizzare che, nel caso in cui tra la decisione amministrativa e la sua verifica giudiziaria trascorra del tempo, bisogna tenere conto, per valutare il presupposto della minaccia attuale, anche di eventuali elementi di fatto successivi al rilascio del divieto d'entrata (cfr. DTF 137 II 233 consid. 5.3.1; cfr. anche la sentenza del Tribunale federale 2C_173/2019 del 31 luglio 2019 consid. 5.2.1, con il rinvio alla sentenza CGCE del 29 aprile 2004, Orfanopoulos e Oliveri, C-482/01 e C-493/01, nn. 77 a 79).</w:t>
      </w:r>
    </w:p>
    <w:p>
      <w:r>
        <w:rPr>
          <w:b/>
        </w:rPr>
        <w:t>E. 7.1</w:t>
      </w:r>
    </w:p>
    <w:p>
      <w:r>
        <w:t>Il ricorrente è stato condannato in Italia a due riprese, ossia ad una multa nel 2017 in relazione ad un fatto sopravvenuto nel 2015 (minaccia), e a nove mesi di reclusione, con la condizionale, nel 2018, in seguito ad un fatto intercorso il 9 settembre 2016 (resistenza a un pubblico ufficiale e lesione personale). Quando la SEM ha emanato il divieto d'entrata, il 26 giugno 2019, queste due condanne erano recenti, continuando peraltro ad esserlo, e, soprattutto rispetto ai reati di resistenza a un ufficiale pubblico e di lesione personale, la loro gravità non può essere minimizzata sotto il profilo dell'ordine e della sicurezza pubblici svizzeri. Al contrario, secondo il Codice penale svizzero (CP, RS 311), la violenza o minaccia contro le autorità e i funzionari, quali rappresentanti dello Stato, è punita con una pena detentiva fino a tre anni o con una pena pecuniaria (cfr. art. 285 cpv. 1 CP). Pertanto, la gravità di questa potenziale infrazione deve essere classificata come importante, ciò che sminuisce le esigenze riguardo al rischio di recidiva (cfr. consid. 6.3). In questo senso, anche a prescindere dalle multe, con l'avvertenza della pena detentiva sostitutiva in caso di non pagamento, accollate al ricorrente per accattonaggio e vagabondaggio in Ticino nel 2015, 2017 e 2018, è lecito ammettere con la SEM che il ricorrente costituiva, alla luce dei suoi reati contro l'autorità pubblica italiana (resistenza e lesione), la cui importanza si rispecchia nella misura della pena (nove mesi di reclusione), una minaccia concreta di una certa gravità per l'ordine e la sicurezza pubblici svizzeri, e non soltanto un pericolo più o meno astratto. Di conseguenza, la pronuncia di un divieto d'entrata, il 26 giugno 2019, non oltrepassante i cinque anni, era giustificata (cfr. consid. 6.2, 6.3 e 6.4).</w:t>
      </w:r>
    </w:p>
    <w:p>
      <w:r>
        <w:rPr>
          <w:b/>
        </w:rPr>
        <w:t>E. 8</w:t>
      </w:r>
    </w:p>
    <w:p>
      <w:r>
        <w:t>Si tratta ora di verificare se la durata di quattro anni del divieto d'entrata fosse anche proporzionale, e ciò in funzione del complesso delle circostanze del caso, nel quadro del diritto del ricorrente alla libera circolazione garantito dall'ALC (cfr. consid. 4), nonché, se del caso, del suo diritto al rispetto della sua vita privata e familiare secondo l'art. 8 § 1 della Convenzione europea dei diritti dell'uomo (CEDU, RS 0.101).</w:t>
      </w:r>
    </w:p>
    <w:p>
      <w:r>
        <w:rPr>
          <w:b/>
        </w:rPr>
        <w:t>E. 8.1</w:t>
      </w:r>
    </w:p>
    <w:p>
      <w:r>
        <w:t>In generale, l'attività dello Stato deve rispondere al pubblico interesse ed essere proporzionata allo scopo (art. 5 cpv. 2 della Costituzione federale/Cost., RS 101).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8.2</w:t>
      </w:r>
    </w:p>
    <w:p>
      <w:r>
        <w:t>A proposito dell'art. 8 § 1 CEDU bisogna precisare che, benché non garantisca il diritto di entrata e di soggiorno in Svizzera (cfr. DTF 140 I 145 consid. 3.1 e 139 I 330 consid. 2.1 con i rinvii), esso estende la sua protezione, sotto il profilo del diritto al rispetto della vita privata, anche alle relazioni sociali sviluppate nell'ambito di attività professionali e commerciali di chi se ne prevale (cfr. sentenze CorteEDU - Fernandez Martinez c. Spagna [Grande Camera], n. 56030/07, 12 giugno 2014, § 110, e Niemietz c. Germania, n. 13710/88, 16 dicembre 1992, n. 29). Secondo il Tribunale federale, dal punto di vista del diritto al rispetto della vita familiare, chi si richiama alla protezione dell'art. 8 § 1 CEDU deve, in generale, intrattenere una relazione stretta, effettiva ed intatta, con una persona della sua famiglia che beneficia di un diritto di presenza duraturo in Svizzera (cfr., tuttavia, la sentenza CorteEDU - Mengesha Kimfe c. Svizzera, n. 24404/05, 29 luglio 2010, § 61); in questo senso, sono protetti, segnatamente, i rapporti tra i coniugi, nonché quelli tra genitori e figli minorenni che vivono in comunione; eccezionalmente, se sussiste un particolare rapporto di dipendenza tra loro, sono presi in considerazione anche i rapporti tra genitori e figli maggiorenni (cfr. DTF 129 II 11 consid. 2). Nondimeno, l'art. 8 § 2 CEDU permette un'ingerenza statale nell'esercizio del diritto al rispetto della vita privata e della vita familiare, se tale ingerenza è prevista dalla legge ed è necessaria, in particolare, alla sicurezza pubblica e alla prevenzione dei reati in una società democratica.</w:t>
      </w:r>
    </w:p>
    <w:p>
      <w:r>
        <w:rPr>
          <w:b/>
        </w:rPr>
        <w:t>E. 8.3</w:t>
      </w:r>
    </w:p>
    <w:p>
      <w:r>
        <w:t>In concreto, come traspare dall'analisi effettuata in precedenza (cfr. consid. 7.1), fra tutti i reati sanzionati risaltano quelli commessi in Italia contro un pubblico ufficiale (resistenza e lesione corporale), la cui gravità non può essere in alcun modo minimizzata nella prospettiva dell'ordine e della sicurezza pubblici svizzeri. Tuttavia, considerato che il ricorrente non ha recidivato, questo Tribunale è del parere che, sotto questo profilo, un divieto d'entrata di tre anni, al posto di quattro, soddisfi meglio le esigenze del principio di proporzionalità riguardo alla sua idoneità, alla sua necessità e alla sua preponderanza per la difesa dell'ordine e della sicurezza pubblici. È però ancora doveroso verificare se un divieto d'entrata di tre anni sia anche compatibile, per quanto applicabile, con l'art. 8 CEDU.</w:t>
      </w:r>
    </w:p>
    <w:p>
      <w:r>
        <w:rPr>
          <w:b/>
        </w:rPr>
        <w:t>E. 8.4</w:t>
      </w:r>
    </w:p>
    <w:p>
      <w:r>
        <w:t>Ora, relativamente alla protezione garantita dall'art. 8 § 1 CEDU sul piano della vita privata, il ricorrente non ha, e nemmeno fa valere, interessi particolari da tutelare, come potrebbe essere il caso se egli avesse, grazie al suo lavoro di muratore, allacciato e sviluppato contatti sociali stretti in Ticino, essendo precisato che la mendicità, a cui il ricorrente ha pure avuto ricorso per sovvenire ai bisogni della sua famiglia, non è considerata, secondo la giurisprudenza, come un'attività economica privata (cfr. DTF 134 I 214 consid. 3). In questo senso, il ricorrente non può ricavare nulla da questa norma convenzionale riguardo ad un'eventuale riduzione della durata del divieto d'entrata. Rimane invece impregiudicata la questione della tutela della mendicità come espressione della libertà personale ai sensi dell'art. 8 § 1 CEDU (cfr. consid. 8.5, qui sotto). Lo stesso discorso vale, mutatis mutandis, sul piano della vita familiare del ricorrente, la quale si svolge a ..., dove egli vive con sua moglie e le sue due figlie.</w:t>
      </w:r>
    </w:p>
    <w:p>
      <w:r>
        <w:rPr>
          <w:b/>
        </w:rPr>
        <w:t>E. 8.5</w:t>
      </w:r>
    </w:p>
    <w:p>
      <w:r>
        <w:t>Ciò posto, il ricorrente si riferisce, nel suo ultimo scritto del 23 febbraio 2021, ad una recente sentenza della Corte europea dei diritti dell'uomo (CorteEDU), senza indicare quale, per sostenere che "l'esercizio della questua non può essere sanzionato quando la persona lo effettua per potersi garantire il proprio sostentamento", con la precisazione che egli "ha a proprio carico moglie e figli e che, comunque, ha provveduto a corrispondere le multe comminategli dimostrando pienamente la propria volontà di adeguarsi alle norme vigenti nel nostro paese". Con ogni probabilità il ricorrente intende la sentenza Lacatus c. Svizzera, n. 14065/15, del 19 gennaio 2021, pronunciata da una Camera di sette giudici della CorteEDU, e relativa a una richiedente romena appartenente alla minoranza etnica dei Rom, che elemosinava a Ginevra negli anni 2011 - 2013, e che, per questo motivo, è stata multata a più riprese, subendo per finire una pena detentiva di cinque giorni nel 2015 in seguito al non pagamento delle multe.</w:t>
      </w:r>
    </w:p>
    <w:p>
      <w:r>
        <w:rPr>
          <w:b/>
        </w:rPr>
        <w:t>E. 8.5.1</w:t>
      </w:r>
    </w:p>
    <w:p>
      <w:r>
        <w:t>È necessario rilevare, per prima cosa, che la sentenza in questione non è ancora definitiva (cfr. art. 44 CEDU). Inoltre, la stessa è posteriore al rilascio del divieto d'entrata del 26 giugno 2019, per cui, beninteso, non si può rimproverare alla SEM di non averne tenuto conto. È però sensato ed opportuno considerarla, per quanto possibile, in questa sede (cfr. consid. 7). Ciò premesso, la CorteEDU ha riconosciuto che il fatto di chiedere l'elemosina rientra nella nozione di "vita privata" secondo l'art. 8 § 1 CEDU, nel senso che "en mendiant, l'intéressé adopte un mode de vie particulier afin de surmonter une situation inhumaine et précaire" (sentenza, § 56). In seguito, la CorteEDU ha considerato determinante il fatto che la richiedente, dopo essere stata condannata ad una multa di fr. 500.-, che non ha potuto pagare a causa della sua situazione di "vulnérabilité manifeste", senza "d'autres choix que la mendicité pour survivre", ha dovuto espiare una pena detentiva di cinque giorni (sentenza, §§ 7, 108 e 115). La CorteEDU ha quindi accertato che l'ingerenza delle autorità svizzere nella vita privata della richiedente, materializzatasi nella pena detentiva di cinque giorni, non era necessaria in una società democratica, ossia che non era proporzionata né allo scopo di combattere la criminalità organizzata, né a quello di proteggere i diritti dei passanti e dei proprietari di negozi (sentenza, §§ 115 e 116), da cui la violazione dell'art. 8 § 1 CEDU e la condanna della Svizzera al pagamento alla richiedente di un'indennità di EUR 922.- per torto morale.</w:t>
      </w:r>
    </w:p>
    <w:p>
      <w:r>
        <w:rPr>
          <w:b/>
        </w:rPr>
        <w:t>E. 8.5.2</w:t>
      </w:r>
    </w:p>
    <w:p>
      <w:r>
        <w:t>Come si vede, questa fattispecie non è del tutto sovrapponibile a quella del ricorrente, il quale, disponendo dei mezzi per pagare le multe, non ha dovuto espiare alcuna pena detentiva. In aggiunta a ciò, il ricorrente ha una moglie e due figlie, con le quali non vive sulla strada, ed esercita la professione di operaio, dimodoché non deve ricorrere all'elemosina come unico mezzo possibile per sopravvivere, nonostante conosca dei periodi di disoccupazione, come si può evince dall'incarto. Questo per dire che non è evidente fino a che punto il ricorrente possa richiamarsi pertinentemente alla sentenza Lacatus c. Svizzera, questione che egli, d'altra parte, non tematizza in modo approfondito dal punto di vista della sua situazione personale. In proposito è però necessario sottolineare che la sentenza della CorteEDU nega, in casu, la proporzionalità delle sanzioni di natura penale, soprattutto la pena detentiva, per controllare la mendicità, mentre non mette in discussione la facoltà di adottare misure amministrative, come il divieto d'entrata, a questo scopo (sentenza, §§ 105, 112 e 115). Comunque, la questione della portata della sentenza Lacatus c. Svizzera in questa procedura può rimanere irrisolta. In effetti, data la riduzione del divieto d'entrata a tre anni che si impone in relazione al reato certo grave, ma non reiterato, commesso in Italia contro un pubblico ufficiale (resistenza e lesione corporale), le multe pronunciate in Ticino contro il ricorrente per accattonaggio, con l'avvertenza che, in caso di non pagamento, sarebbero state sostituite da una pena detentiva, non sono di per sé suscettibili di condurre ad una riduzione ulteriore della durata del provvedimento, e ciò a prescindere dal senso che si voglia, in definitiva, attribuire alla sentenza Lacatus c. Svizzera.</w:t>
      </w:r>
    </w:p>
    <w:p>
      <w:r>
        <w:rPr>
          <w:b/>
        </w:rPr>
        <w:t>E. 8.6</w:t>
      </w:r>
    </w:p>
    <w:p>
      <w:r>
        <w:t>Sulla scorta di tutto quanto precede, la ponderazione dell'interesse pubblico della Svizzera a tenere lontano dal suo territorio il ricorrente e l'interesse privato di quest'ultimo ad usufruire, in particolare, della libera circolazione secondo l'ALC, essenzialmente facendo uso del suo diritto d'ingresso in Svizzera (cfr. art. 1 § 1 allegato I ALC), non permette di considerare che una durata del divieto d'entrata di quattro anni sia proporzionata: una durata di tre anni appare invece più consona a garantire la difesa dell'ordine e della sicurezza pubblici svizzeri senza incidere in misura eccessiva sugli interessi privati, qualunque essi siano, del ricorrente.</w:t>
      </w:r>
    </w:p>
    <w:p>
      <w:r>
        <w:rPr>
          <w:b/>
        </w:rPr>
        <w:t>E. 9</w:t>
      </w:r>
    </w:p>
    <w:p>
      <w:r>
        <w:t>In conclusione, pronunciando un divieto d'entrata di quattro anni, la SEM ha violato l'art. 67 cpv. 3 LStrI, l'ALC e il principio di proporzionalità nell'esercizio del suo potere d'apprezzamento (art. 49 lett. a PA). Stando così le cose, in accordo con le considerazioni sopraesposte, il ricorso deve essere parzialmente accolto, e la decisione impugnata riformata, nel senso che la durata del divieto d'entrata è ridotta a tre anni, per cui lo stesso è valido dal 26 giugno 2019 al 25 giugno 2022.</w:t>
      </w:r>
    </w:p>
    <w:p>
      <w:r>
        <w:rPr>
          <w:b/>
        </w:rPr>
        <w:t>E. 10.1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siccome le conclusioni del ricorrente sono state parzialmente accolte in relazione alla fissazione della durata del divieto d'entrata, è giusto porre a suo carico, a titolo di spese processuali ridotte, fr. 750.- da prelevare sull'anticipo di fr. 1'000.- da lui già versato. Di conseguenza, fr. 250.- saranno restituiti al ricorrente una volta che la presente sentenza sarà cresciuta in giudicato.</w:t>
      </w:r>
    </w:p>
    <w:p>
      <w:r>
        <w:rPr>
          <w:b/>
        </w:rPr>
        <w:t>E. 10.2</w:t>
      </w:r>
    </w:p>
    <w:p>
      <w:r>
        <w:t>Considerato che il ricorso è parzialmente ammesso, il ricorrente, che è rappresentato da un avvocato, ha diritto a un'indennità, ridotta in proporzione, per le spese necessarie derivanti dalla causa (spese ripetibili: art. 64 cpv. 1 PA e art. 7 cpv. 1 e 2 TS-TAF). Dato che il ricorrente non ha presentato alcuna nota d'onorario, l'indennità deve essere fissata sulla base degli atti di causa (art. 14 cpv. 2 TS-TAF). Ora, alla luce dell'ampiezza e del contenuto del ricorso e del suo complemento, è appropriato attribuire al ricorrente un'indennità ridotta per spese ripetibili di fr. 500.- (onorario e spese d'avvocato). Si osservi ancora che la SEM, in quanto autorità federale,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