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F-3585/2022 vom 4. Januar 2023</w:t>
      </w:r>
    </w:p>
    <w:p>
      <w:r>
        <w:t>Bundesverwaltungsgericht, 2023-01-04, DE</w:t>
      </w:r>
    </w:p>
    <w:p>
      <w:r>
        <w:rPr>
          <w:b/>
        </w:rPr>
        <w:t xml:space="preserve">Quelle: </w:t>
      </w:r>
      <w:r>
        <w:t>https://mcp.opencaselaw.ch/entscheid/bvger_F-3585_2022</w:t>
      </w:r>
    </w:p>
    <w:p>
      <w:r>
        <w:t>FR: TAF F-3585/2022 du 4 janvier 2023</w:t>
      </w:r>
    </w:p>
    <w:p>
      <w:r>
        <w:t>IT: TAF F-3585/2022 del 4 gennaio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Die verfügende Behörde kann ausnahmsweise aus humanitären oder anderen wichtigen Gründen von der Verhängung eines Einreiseverbots absehen oder ein Einreiseverbot endgültig oder vorübergehend aufheben (Art. 67 Abs. 5 erster Satz AIG).</w:t>
      </w:r>
    </w:p>
    <w:p>
      <w:r>
        <w:rPr>
          <w:b/>
        </w:rPr>
        <w:t>E. 3.2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3.3</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4</w:t>
      </w:r>
    </w:p>
    <w:p>
      <w:r>
        <w:t>Die Vorinstanz begründet das Einreiseverbot damit, der Beschwerdeführer habe sich weit über den bewilligungsfreien Aufenthalt hinaus im Schengen-Raum aufgehalten. Damit liege ein Verstoss gegen die schengenrechtlichen Einreisevoraussetzungen vor, womit eine ernsthafte Gefährdung der öffentlichen Sicherheit und Ordnung einhergehe; der Fernhaltegrund nach Art. 67 Abs. 2 Bst. a AIG sei erfüllt.</w:t>
      </w:r>
    </w:p>
    <w:p>
      <w:r>
        <w:rPr>
          <w:b/>
        </w:rPr>
        <w:t>E. 4.1</w:t>
      </w:r>
    </w:p>
    <w:p>
      <w:r>
        <w:t>Der Beschwerdeführer macht geltend, er habe keine Kenntnis von der Existenz der Schengener Abkommen gehabt und habe nicht gewusst, dass sich die maximale Aufenthaltsdauer von 90 Tagen innerhalb eines Zeitraums von 180 Tagen auf den gesamten Schengen-Raum beziehe. Er sei im Januar 2022 aufgrund der beruflichen Versetzung des Vaters zusammen mit seiner Familie in die Schweiz gezogen. Er habe sich bis zum Antritt seines Studiums im Herbst 2022 in einem Zwischenjahr befunden und habe daher bei seiner Familie in der Schweiz gewohnt. Ende Februar 2022 sei er kurz in die Vereinigten Staaten zurückgereist, um Vorbereitungen für sein Studium zu treffen. Anschliessend habe er wieder bei seinen Eltern in der Schweiz gewohnt - da er finanziell abhängig von ihnen sei - und sei mit der Familie in verschiedene europäische Länder gereist. Ausserdem habe er sich vergebens um die Ausstellung einer B-Bewilligung sowie eines Studierenden- und Arbeitsvisums bemüht.</w:t>
      </w:r>
    </w:p>
    <w:p>
      <w:r>
        <w:rPr>
          <w:b/>
        </w:rPr>
        <w:t>E. 5</w:t>
      </w:r>
    </w:p>
    <w:p>
      <w:r>
        <w:t>Der Beschwerdeführer darf als US-amerikanischer Staatsangehöriger gemäss Art. 8 Abs. 3 VEV visumfrei in den Schengen-Raum einreisen und sich während 90 Tagen innerhalb eines Zeitraums von 180 Tagen grundsätzlich bewilligungsfrei im Schengen-Raum bewegen. Er ist am 5. Januar 2022 in den Schengen-Raum eingereist, wo er sich bis zum 23. Februar 2022 aufhielt. Am 1. März 2022 reiste er erneut in den Schengen-Raum ein und hielt sich bis zur Ausreise am 25. Juni 2022 ohne Unterbruch im Schengen-Raum auf. Der Beschwerdeführer hat somit die bewilligungsfreie Aufenthaltsdauer um 77 Tage überschritten (sog. Overstay). Er hat ausländerrechtliche Bestimmungen verletzt und damit gegen die öffentliche Sicherheit und Ordnung verstossen. Der Fernhaltegrund nach Art. 67 Abs. 2 Bst. a AIG ist somit gesetzt. Allfällige Unkenntnis oder Fehlinterpretation der Einreise- oder Aufenthaltsvorschriften hat er sich anrechnen zu lassen. Ihm obliegt es, sich über die bestehenden Rechte und Pflichten im Zusammenhang mit ausländerrechtlichen Vorschriften zu informieren (Urteil des BVGer F-6174/2020 vom 21. Juni 2021 E. 4).</w:t>
      </w:r>
    </w:p>
    <w:p>
      <w:r>
        <w:rPr>
          <w:b/>
        </w:rPr>
        <w:t>E. 6</w:t>
      </w:r>
    </w:p>
    <w:p>
      <w:r>
        <w:t>Zu prüfen bleibt die Verhältnismässigkeit der Massnahme (vgl. E. 3.3).</w:t>
      </w:r>
    </w:p>
    <w:p>
      <w:r>
        <w:rPr>
          <w:b/>
        </w:rPr>
        <w:t>E. 6.1</w:t>
      </w:r>
    </w:p>
    <w:p>
      <w:r>
        <w:t>Der Verstoss des Beschwerdeführers gegen ausländerrechtliche Besimmungen wiegt mit einem Overstay von 77 Tagen objektiv nicht leicht. Der Einhaltung zentraler ausländerrechtlicher Normen kommt eine hohe Bedeutung zu, geht es doch darum, eine funktionierende Rechtsordnung gewährleisten zu können. Entsprechend ist die ausländerrechtliche Ordnung durch eine konsequente Massnahmenpraxis zu schützen (BVGE 2014/20 E. 8.2; Urteil des BVGer F-1641/2019 vom 14. September 2022 E. 4.1.1). Vorliegend besteht daher bereits aus generalpräventiven Gründen ein öffentliches Interesse an einer zeitlich befristeten Fernhaltung des Beschwerdeführers. Das Einreiseverbot erscheint jedoch auch aus spezialpräventiven Gründen angezeigt, um ihn bei künftigen Aufenthalten in der Schweiz von der erneuten Gefährdung der öffentlichen Sicherheit und Ordnung abzuhalten. Darüber hinaus kommt bei Drittstaatsangehörigen der Rückfallgefahr im Vergleich mit Staatsangehörigen einer Vertragspartei des Freizügigkeitsabkommen (FZA, SR 0.142.112.681) eine geringere Tragweite zu (BGE 139 II 121 E. 6.1; 136 II 5 E. 4.2; BVGE 2017 VII/2 E. 4.4).</w:t>
      </w:r>
    </w:p>
    <w:p>
      <w:r>
        <w:rPr>
          <w:b/>
        </w:rPr>
        <w:t>E. 6.2</w:t>
      </w:r>
    </w:p>
    <w:p>
      <w:r>
        <w:t>Den öffentlichen Fernhalteinteressen sind die privaten Interessen des Beschwerdeführers gegenüberzustellen. Der in den Vereinigten Staaten wohnhafte Beschwerdeführer bringt diesbezüglich vor, das Einreiseverbot würde ihn von seiner Familie trennen. Da seine Familie in der Schweiz lebe, könne er sie über die Semesterferien nicht mehr besuchen. Aufgrund der Volljährigkeit des Beschwerdeführers fällt die Beziehung zu seinen Eltern nicht in den Schutzbereich des Rechts auf Achtung des Familienlebens gemäss Art. 8 Ziff. 1 EMRK, liegt doch kein über die üblichen familiären Beziehungen bzw. emotionalen Bindungen hinausgehendes, besonderes Abhängigkeitsverhältnis vor (BGE 144 II 1 E. 6.1). Die vorübergehende Erschwerung der Kontaktpflege hat der Beschwerdeführer selbst zu verantworten und in Kauf zu nehmen. Diese Einschränkung ist insoweit zu relativieren, als Kontakte für limitierte Zeit auch anders als durch Einreisen in die Schweiz, beispielsweise durch elektronische Kommunikationsmittel, zu verwirklichen sind. Es ist zudem auf die Möglichkeit einer Suspension des Einreiseverbots aus wichtigen Gründen hinzuweisen (Art. 67 Abs. 5 AIG).</w:t>
      </w:r>
    </w:p>
    <w:p>
      <w:r>
        <w:rPr>
          <w:b/>
        </w:rPr>
        <w:t>E. 6.3</w:t>
      </w:r>
    </w:p>
    <w:p>
      <w:r>
        <w:t>Mit Blick auf die Rechtsprechung erscheint es im vorliegenden Fall geboten, den Umstand zu berücksichtigen, dass der Beschwerdeführer keine weiteren (oder wiederholten) Verstösse gegen ausländerrechtliche Vorschriften begangen hat (anders als in den Urteilen des BVGer F- 2155/2021 vom 24. Mai 2022 E. 8, F-3270/2021 vom 12. November 2021). Auch ist die Dauer seines Overstays - 77 Tage - im Vergleich zu ähnlichen Fällen, in denen ebenfalls ein zweijähriges Einreiseverbot verhängt wurde, als relativ kurz zu bewerten (siehe Urteile des BVGer F- 572/2021 vom 21. September 2021, E.5 [Overstay von 328 Tagen], F- 906/2021 vom 3. November 2022, E. 4.3 [Overstay von 257 Tagen], F- 3733/2021 vom 30. September 2022, E. 7.2 [Overstay von 194 Tagen], F-1921/2021 vom 28. Februar 2022E. 5.2 [Overstay von172 Tagen]).</w:t>
      </w:r>
    </w:p>
    <w:p>
      <w:r>
        <w:rPr>
          <w:b/>
        </w:rPr>
        <w:t>E. 6.4</w:t>
      </w:r>
    </w:p>
    <w:p>
      <w:r>
        <w:t>Eine wertende Gewichtung der sich gegenüberstehenden Interessen und die Berücksichtigung der Rechtsprechung in ähnlichen Fällen führt das Bundesverwaltungsgericht zum Schluss, dass das Einreiseverbot dem Grundsatz nach zu bestätigen ist, in Bezug auf seine Dauer von zwei Jahren jedoch als unverhältnismässig lang erscheint.</w:t>
      </w:r>
    </w:p>
    <w:p>
      <w:r>
        <w:rPr>
          <w:b/>
        </w:rPr>
        <w:t>E. 6.5</w:t>
      </w:r>
    </w:p>
    <w:p>
      <w:r>
        <w:t>Es ist anzunehmen, dass ein einjähriges Einreiseverbot genügend Gewähr dafür bietet, dass der Beschwerdeführer künftig den in der Schweiz bzw. im Schengen-Raum geltenden migrationsrechtlichen Vorschriften Beachtung schenkt. Auch wird dem öffentlichen Interesse an der Fernhaltung des Beschwerdeführers mit einem Einreiseverbot, begrenzt auf ein Jahr, hinreichend Rechnung getragen.</w:t>
      </w:r>
    </w:p>
    <w:p>
      <w:r>
        <w:rPr>
          <w:b/>
        </w:rPr>
        <w:t>E. 7</w:t>
      </w:r>
    </w:p>
    <w:p>
      <w:r>
        <w:t>Demnach verletzt die angefochtene Verfügung Bundesrecht (Art. 49 VwVG), weshalb die Beschwerde teilweise gutzuheissen und das gegen den Beschwerdeführer verhängte Einreiseverbot auf den 24. Juni 2023 zu befristen ist.</w:t>
      </w:r>
    </w:p>
    <w:p>
      <w:r>
        <w:rPr>
          <w:b/>
        </w:rPr>
        <w:t>E. 8.1</w:t>
      </w:r>
    </w:p>
    <w:p>
      <w:r>
        <w:t>Entsprechend dem Ausgang des Verfahrens sind dem Beschwerdeführer die Verfahrenskosten von Fr. 1'000.- im Umfang des Unterliegens, mithin im Betrag von Fr. 500.-, aufzuerlegen (Art. 63 Abs. 1 VwVG i.V.m. Art. 1 ff. des Reglements vom 21. Februar 2008 über die Kosten und Entschädigungen vor dem Bundesverwaltungsgericht [VGKE, SR 173.320.2]).</w:t>
      </w:r>
    </w:p>
    <w:p>
      <w:r>
        <w:rPr>
          <w:b/>
        </w:rPr>
        <w:t>E. 8.2</w:t>
      </w:r>
    </w:p>
    <w:p>
      <w:r>
        <w:t>Der teilweise obsiegende Beschwerdeführer hat grundsätzlich Anspruch auf Ersatz der ihm erwachsenen notwendigen Kosten (Art. 64 Abs. 1 und 2 VwVG; Art. 7 ff. des Reglements vom 21. Februar 2008 über die Kosten und Entschädigungen vor dem Bundesverwaltungsgericht [VGKE, SR 173.320.2]). Es ist jedoch nicht davon auszugehen, dass ihm - der nicht anwaltlich oder auf andere Weise beruflich vertreten ist - aus dem vorliegenden Verfahren Kosten im Sinne der massgeblichen Bestimmungen entstanden sind. Deshalb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