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F-357/2026 vom 27. Januar 2026</w:t>
      </w:r>
    </w:p>
    <w:p>
      <w:r>
        <w:t>Bundesverwaltungsgericht, 2026-01-27, DE</w:t>
      </w:r>
    </w:p>
    <w:p>
      <w:r>
        <w:rPr>
          <w:b/>
        </w:rPr>
        <w:t xml:space="preserve">Quelle: </w:t>
      </w:r>
      <w:r>
        <w:t>https://mcp.opencaselaw.ch/entscheid/bvger_F-357_2026</w:t>
      </w:r>
    </w:p>
    <w:p>
      <w:r>
        <w:t>FR: TAF F-357/2026 du 27 janvier 2026</w:t>
      </w:r>
    </w:p>
    <w:p>
      <w:r>
        <w:t>IT: TAF F-357/2026 del 27 gennaio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zur Beurteilung der Beschwerde zuständig (Art. 105 AsylG i.V.m. Art. 31 ff. VGG). Die Beschwerde wurde rechtzeitig erhoben (Art. 108 Abs. 3 AsylG), weil die fristgerechte Einreichung bei der Vorinstanz als unzuständiger Behörde die Beschwerdefrist wahrte (Art. 21 Abs. 2 VwVG). Betreffend die übrigen Eintretensvoraussetzungen (Art. 48 Abs. 1 VwVG, Art. 52 VwVG) stellt sich zunächst die Frage, ob die Rechtsbegehren des Beschwerdeführers den Anforderungen von Art. 52 Abs. 1 VwVG genügen. Gemäss dieser Bestimmung hat die Beschwerdeschrift unter anderem die Begehren zu enthalten. Diesem Erfordernis ist Genüge getan, wenn aus der Beschwerde zumindest implizit ersichtlich ist, in welchen Punkten die angefochtene Verfügung beanstandet wird (vgl. Andrè Moser, in: Auer/Müller/Schindler [Hrsg.], VwVG-Kommentar, 2. Aufl. 2019, Art. 52 N. 1). Ungeachtet dessen sind Parteieingaben in Verfahren vor Bundesbehörden in einer Amtssprache abzufassen (Art. 16 Abs. 1 AsylG; vgl. Art. 33a Abs. 1 VwVG und Art. 70 Abs. 1 BV). Die Vorinstanz hat gestützt auf Art. 31a Abs. 1 Bst. b AsylG in Verbindung mit Art. 44 AsylG einen Nichteintretens- und Wegweisungsentscheid erlassen. Der Beschwerdeführer benutzte das Beschwerdeformular der Schweizerischen Flüchtlingshilfe in türkischer Sprache (Übersetzung abrufbar unter: https://www.fluechtlingshilfe.ch/hilfe-fuer-schutzsuchende/beschwerdeunterlagen, zuletzt abgerufen am 22. Januar 2026). Die vorgedruckten Rechtsbegehren sind dadurch zweifelsfrei verständlich und genügen den Anforderungen von Art. 52 Abs. 1 VwVG. Es wird daher ausnahmsweise hingenommen, dass sie nicht in einer Amtssprache abgefasst sind, zumal im vorliegenden Dublin-Verfahren der Verfahrenseffizienz erhöhte Bedeutung zukommt und sich der Verfahrensausgang als klar erweist (E. 1.2). Die Begehren zielen sodann auf die Anerkennung der Flüchtlingseigenschaft und die Gewährung von Asyl, subsidiär auf die Gewährung der vorläufigen Aufnahme ab. Sie befinden sich somit ausserhalb des Anfechtungsgegenstands und sind folglich unzulässig. Auf sie ist nicht einzutreten. Der Beschwerdeführer handelte jedoch ohne Rechtsvertretung und aus der Beschwerdeschrift ist ersichtlich, dass er sich der Überstellung nach Bulgarien widersetzen will. Zu seinen Gunsten ist demnach davon auszugehen, dass er nebst der Aufhebung der angefochtenen Verfügung das Eintreten auf sein Asylgesuch beziehungsweise dessen materielle Behandlung beantragen wollte. Dabei handelt es sich um ein zulässiges Rechtsbegehren, zu dessen Erhebung der Beschwerdeführer gemäss Art. 48 Abs. 1 VwVG legitimiert ist. Auf die Beschwerde ist insofern einzutreten.</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(Art. 111a Abs. 1 und 2 AsylG) zu behandeln ist.</w:t>
      </w:r>
    </w:p>
    <w:p>
      <w:r>
        <w:rPr>
          <w:b/>
        </w:rPr>
        <w:t>E. 2.1</w:t>
      </w:r>
    </w:p>
    <w:p>
      <w:r>
        <w:t>Die Vorinstanz hat in der angefochtenen Verfügung vom 24. Dezember 2025 korrekt erwogen, dass gemäss den Bestimmungen der Dublin-III-VO grundsätzlich Bulgarien für die Behandlung des Asylgesuchs des Beschwerdeführers zuständig ist. In diesem Zusammenhang hat sie zutreffend erwogen, dass das bulgarische Asylsystem rechtsprechungsgemäss keine systemischen Mängel aufweist, aufgrund derer die Zuständigkeit gemäss Art. 3 Abs. 2 Dublin-III-VO auf die Schweiz überginge (vgl. Referenzurteil des BVGer F-7195/2018 vom 11. Februar 2020 E. 6.6.7; jüngst Urteil F-6791/2025 vom 9. September 2025 E. 3), und dass der vom Beschwerdeführer angesprochene in der Schweiz lebende Onkel nicht als Familienangehöriger im Sinne von Art. 2 Bst. g (und den darauf Bezug nehmenden Art. 9 ff.) Dublin-III-VO gilt. Weiter hat sie zutreffend festgehalten, dass vorliegend keine völkerrechtlichen Vollzugshindernisse ersichtlich sind, welche die Schweiz zu einem Selbsteintritt nach Art. 17 Abs. 1 Dublin-III-VO verpflichten würden, und hat in rechtsfehlerfreier Ausübung des ihr nach Art. 17 Abs. 1 Dublin-III-VO und Art. 29a Abs. 3 der Asylverordnung 1 vom 11. August 1999 (AsylV 1, SR 142.311) zukommenden Ermessens auch von einem freiwilligen Selbsteintritt der Schweiz abgesehen. Dabei hat sie berücksichtigt, dass der Beschwerdeführer im Rahmen seines Dublin-Gespräches angab, keine gesundheitlichen Probleme zu haben, und auch bei den Abklärungen des Gesundheitsdienstes im BAZ C._______ kein dringlicher medizinischer Behandlungsbedarf festgestellt wurde. Die Vorinstanz ist somit zu Recht in Anwendung von Art. 31a Abs. 1 Bst. b AsylG auf das Asylgesuch des Beschwerdeführers nicht eingetreten und hat in Anwendung von Art. 44 AsylG seine Wegweisung nach Bulgarien angeordnet. Zur näheren Begründung wird auf die korrekten vorinstanzlichen Erwägungen verwiesen.</w:t>
      </w:r>
    </w:p>
    <w:p>
      <w:r>
        <w:rPr>
          <w:b/>
        </w:rPr>
        <w:t>E. 2.2</w:t>
      </w:r>
    </w:p>
    <w:p>
      <w:r>
        <w:t>Die Ausführungen auf Beschwerdeebene vermögen an der Richtigkeit der angefochtenen Verfügung vom 24. Dezember 2025 nichts zu ändern. Da das bulgarische Asylsystem rechtsprechungsgemäss keine systemischen Schwachstellen aufweist (siehe E. 2.1 hiervor), erübrigen sich Weiterungen zur geltend gemachten Gefahr einer allfälligen Kettenabschiebung (vgl. Urteil des EuGH vom 30. November 2023, verbundene Rechtssachen C-228/21, C-254/21, C-297/21, C-315/21 und C-328/21, §§ 129-142 und Ziff. 2 des Dispositivs). Soweit der Beschwerdeführer eine flüchtlingsrechtliche Gefährdung in der Türkei geltend macht, ist festzuhalten, dass die Prüfung von Fluchtgründen nicht Gegenstand des vorliegenden, einzig auf die Prüfung der Zuständigkeit für die Durchführung des Asyl- und Wegweisungsverfahrens gerichteten Dublin-Verfahrens sein kann, weshalb darauf nicht weiter einzugehen ist. Die persönliche Präferenz des Beschwerdeführers für einen Verbleib in der Schweiz ist rechtlich unerheblich (vgl. BVGE 2010/45 E. 8.3). Aus der vorgebrachten respektive erneut vorgebrachten Landesanwesenheit seiner Cousins und seines Onkels kann er von vornherein nichts zu seinen Gunsten ableiten, da diese nicht in den personenbezogenen Anwendungsbereich von Art. 9 ff. (i.V.m. Art. 2 Bst. g) oder Art. 16 Dublin-III-VO fallen. Eine besondere Vulnerabilität im Sinne der Rechtsprechung zu Dublin-Überstellungen nach Bulgarien (vgl. Referenzurteil des BVGer F-7195/2018 vom 11. Februar 2020 E. 7.4.2) wird im Übrigen weder vorgebracht, noch ist eine solche aus den Akten ersichtlich.</w:t>
      </w:r>
    </w:p>
    <w:p>
      <w:r>
        <w:rPr>
          <w:b/>
        </w:rPr>
        <w:t>E. 3</w:t>
      </w:r>
    </w:p>
    <w:p>
      <w:r>
        <w:t>Nach dem Gesagten ist die angefochtene Verfügung vom 24. Dezember 2025 nicht zu beanstanden und die Beschwerde ist abzuweisen, soweit darauf einzutreten ist.</w:t>
      </w:r>
    </w:p>
    <w:p>
      <w:r>
        <w:rPr>
          <w:b/>
        </w:rPr>
        <w:t>E. 4</w:t>
      </w:r>
    </w:p>
    <w:p>
      <w:r>
        <w:t>Mit vorliegendem Urteil wird der Antrag auf Gewährung der aufschiebenden Wirkung gegenstandslos und der am 19. Januar 2026 angeordnete Vollzugsstopp fällt dahin.</w:t>
      </w:r>
    </w:p>
    <w:p>
      <w:r>
        <w:rPr>
          <w:b/>
        </w:rPr>
        <w:t>E. 5</w:t>
      </w:r>
    </w:p>
    <w:p>
      <w:r>
        <w:t>Das Gesuch um Gewährung der unentgeltlichen Rechtspflege ist abzuweisen, da die Begehren - wie sich aus den vorstehenden Erwägungen ergibt - als aussichtslos zu bezeichnen sind und dies auch im Gesuchszeitpunkt waren. 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