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F-3564/2020 vom 21. Juli 2020</w:t>
      </w:r>
    </w:p>
    <w:p>
      <w:r>
        <w:t>Bundesverwaltungsgericht, 2020-07-21, DE</w:t>
      </w:r>
    </w:p>
    <w:p>
      <w:r>
        <w:rPr>
          <w:b/>
        </w:rPr>
        <w:t xml:space="preserve">Quelle: </w:t>
      </w:r>
      <w:r>
        <w:t>https://mcp.opencaselaw.ch/entscheid/bvger_F-3564_2020</w:t>
      </w:r>
    </w:p>
    <w:p>
      <w:r>
        <w:t>FR: TAF F-3564/2020 du 21 juillet 2020</w:t>
      </w:r>
    </w:p>
    <w:p>
      <w:r>
        <w:t>IT: TAF F-3564/2020 del 21 luglio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Den Einträgen in der "Eurodac"-Datenbank zufolge stellte der Beschwerdeführer am 31. Mai 2017 in Italien und am 21. Mai 2019 in Frankreich ein Asylgesuch, bevor er am 16. Juni 2020 in der Schweiz um Asyl ersuchte (SEM-act. 7 f.). Das Wiederaufnahmegesuch der Vorinstanz vom 25. Juni 2020 hiessen die italienischen Behörden am 7. Juli 2020 gut (SEM-act. 17 und 22). Die grundsätzliche Zuständigkeit Italiens zur Durchführung des Asyl- und Wegweisungsverfahrens des Beschwerdeführers ist somit gegeben und zudem unbestritten (Art. 31a Abs. 1 Bst. b AsylG;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Art. 18 Abs. 1 Bst. b Dublin-III-VO; Art. 23 Dublin-III-VO).</w:t>
      </w:r>
    </w:p>
    <w:p>
      <w:r>
        <w:rPr>
          <w:b/>
        </w:rPr>
        <w:t>E. 3.2</w:t>
      </w:r>
    </w:p>
    <w:p>
      <w:r>
        <w:t>Was der Beschwerdeführer gegen die Überstellung nach Italien vorbringt, ist unsubstantiiert und verfängt nicht:</w:t>
      </w:r>
    </w:p>
    <w:p>
      <w:r>
        <w:rPr>
          <w:b/>
        </w:rPr>
        <w:t>E. 3.2.1</w:t>
      </w:r>
    </w:p>
    <w:p>
      <w:r>
        <w:t>Soweit der Beschwerdeführer geltend macht, er werde aufgrund seines Engagements für die sogenannte Biafra-Bewegung in Liberia vom Staat mit dem Tode bedroht, so ist er darauf hinzuweisen, dass es an den italienischen Behörden liegt, sich mit dieser Behauptung auseinanderzusetzen. Es kann davon ausgegangen werden, dass Italien seinen völkerrechtlichen Pflichten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nachkommt (vgl. anstelle vieler Urteil des BVGer E-962/2019 vom 17. Dezember 2019 E. 6.4). Vorliegend ist auch nicht zu befürchten, dass sich Italien nicht an die Richtlinien des Europäischen Parlaments und des Rates 2013/32/EU vom 26. Juni 2013 zu gemeinsamen Verfahren für die Zuerkennung und Aberkennung des internationalen Schutzes (sog. Verfahrensrichtlinie) halten und ihn in Missachtung des Grundsatzes des Non-Refoulement zur Ausreise nach Liberia oder in ein anderes Land zwingen könnte, in dem sein Leib, sein Leben oder seine Freiheit aus einem Grund nach Art. 3 Abs. 1 AsylG gefährdet ist oder in dem er Gefahr laufen würde, zur Ausreise in ein solches Land gezwungen zu werden. Ausserdem stimmten die italienischen Behörden dem Wiederaufnahmeersuchen der Schweiz gestützt auf Art. 18 Abs. 1 Bst. b Dublin-III-VO zu und ist der Beschwerdeführer im Besitz einer bis zum 6. April 2028 gültigen italienischen Identitätskarte, was entgegen seinen Ausführungen auf ein noch pendentes Asylverfahren in Italien schliessen lässt.</w:t>
      </w:r>
    </w:p>
    <w:p>
      <w:r>
        <w:rPr>
          <w:b/>
        </w:rPr>
        <w:t>E. 3.2.2</w:t>
      </w:r>
    </w:p>
    <w:p>
      <w:r>
        <w:t>Erstmals in seiner Rechtsmitteleingabe vom 13. Juli 2020 wendet der Beschwerdeführer ein, er werde in Italien und in Frankreich vom nigerianischen Geheimdienst gesucht. Seine Behauptung bleibt allerdings pauschal, absolut unfundiert und deshalb ohne jede Überzeugungskraft. Doch selbst wenn von solchen Machenschaften auszugehen wäre, könnte ihnen im vorliegenden Kontext keine Erheblichkeit zugesprochen werden, denn Italien gilt als funktionierender Rechtsstaat, dessen Behörden grundsätzlich gewillt und fähig sind, staatlichen Schutz zu gewähren (statt vieler: Urteil des BVGer F-1327/2020 vom 13. März 2020 E. 6.1).</w:t>
      </w:r>
    </w:p>
    <w:p>
      <w:r>
        <w:rPr>
          <w:b/>
        </w:rPr>
        <w:t>E. 3.3</w:t>
      </w:r>
    </w:p>
    <w:p>
      <w:r>
        <w:t>Der angefochtene Entscheid verletzt keine die Schweiz bindende, völkerrechtliche Bestimmung. Eine anderweitig gesetzeswidrige Ermessensausübung der Vorinstanz ist nicht ersichtlich. Daher ist nicht zu beanstanden, dass die Vorinstanz von dem in Art. 17 Abs. 1 Dublin-III-VO und in Art. 29a Abs. 3 der Asylverordnung 1 vom 11. August 1999 (AsylV 1, SR 142.311) verankerten Selbsteintrittsrecht keinen Gebrauch gemacht hat.</w:t>
      </w:r>
    </w:p>
    <w:p>
      <w:r>
        <w:rPr>
          <w:b/>
        </w:rPr>
        <w:t>E. 4</w:t>
      </w:r>
    </w:p>
    <w:p>
      <w:r>
        <w:t>Die Vorinstanz ist demnach zu Recht auf das Asylgesuch des Beschwerdeführers nicht eingetreten und hat die Überstellung nach Italien verfügt. Die Beschwerde ist abzuweisen. Der Antrag auf Gewährung der aufschiebenden Wirkung erweist sich mit der Ausfällung des vorliegenden Urteils als gegenstandslos.</w:t>
      </w:r>
    </w:p>
    <w:p>
      <w:r>
        <w:rPr>
          <w:b/>
        </w:rPr>
        <w:t>E. 5</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