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F-3557/2017 vom 26. September 2017</w:t>
      </w:r>
    </w:p>
    <w:p>
      <w:r>
        <w:t>Bundesverwaltungsgericht, 2017-09-26, DE</w:t>
      </w:r>
    </w:p>
    <w:p>
      <w:r>
        <w:rPr>
          <w:b/>
        </w:rPr>
        <w:t xml:space="preserve">Quelle: </w:t>
      </w:r>
      <w:r>
        <w:t>https://mcp.opencaselaw.ch/entscheid/bvger_F-3557_2017</w:t>
      </w:r>
    </w:p>
    <w:p>
      <w:r>
        <w:t>FR: TAF F-3557/2017 du 26 septembre 2017</w:t>
      </w:r>
    </w:p>
    <w:p>
      <w:r>
        <w:t>IT: TAF F-3557/2017 del 26 settembre 2017</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vollständigoder vorübergehend aufheben (Abs. 5).</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VZAE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Urteil des BVGer C-5068/2015 vom 26. April 2016 E. 3.2 m.H.).</w:t>
      </w:r>
    </w:p>
    <w:p>
      <w:r>
        <w:rPr>
          <w:b/>
        </w:rPr>
        <w:t>E. 4.1</w:t>
      </w:r>
    </w:p>
    <w:p>
      <w:r>
        <w:t>Die Vorinstanz wirft dem Beschwerdeführer in ihrer Verfügung vor, gegen Bestimmungen des Ausländerrechts verstossen zu haben, indem er ohne die erforderliche ausländerrechtliche Bewilligung erwerbstätig gewesen sei. Damit liege gemäss ständiger Praxis und Rechtsprechung ein Verstoss gegen die öffentliche Sicherheit und Ordnung im Sinne von Art. 67 Abs. 2 Bst. a AuG vor.</w:t>
      </w:r>
    </w:p>
    <w:p>
      <w:r>
        <w:rPr>
          <w:b/>
        </w:rPr>
        <w:t>E. 4.2.1</w:t>
      </w:r>
    </w:p>
    <w:p>
      <w:r>
        <w:t>Im Rahmen der polizeilichen Einvernahme vom 30. Mai 2017 gestand der Beschwerdeführer ein, von Ende Dezember 2016 bis Mitte April 2017 und seit 25. Mai 2017 wieder im "Y._______ Markt" in X._______ während jeweils sechs Tagen pro Woche von 0700 bis 1700 Uhr für einen Monatslohn von Fr. 2'000.- als Hilfsbäcker gearbeitet zu haben. Auf entsprechende Nachfrage gab er zu, gewusst zu haben, dass er als kosovarischer Staatsangehöriger mit slowenischem Aufenthaltstitel eine Arbeitsbewilligung benötigt hätte. Gestützt auf diese Aussagen wurde der Beschwerdeführer in der Folge vom Strafrichter wegen Erwerbstätigkeit ohne Bewilligung im Sinne von Art. 115 Abs. 1 Bst. c AuG zu einer (unbedingten) Freiheitsstrafe von 90 Tagen verurteilt (vgl. Strafbefehl vom 31. Mai 2017).</w:t>
      </w:r>
    </w:p>
    <w:p>
      <w:r>
        <w:rPr>
          <w:b/>
        </w:rPr>
        <w:t>E. 4.2.2</w:t>
      </w:r>
    </w:p>
    <w:p>
      <w:r>
        <w:t>Demgegenüber bestreitet der Beschwerdeführer nunmehr sowohl in seiner Einsprache gegen den Strafbefehl als auch in seiner Rechtsmittel-eingabe, in der Schweiz gearbeitet zu haben, sei er doch lediglich zu Besuch bei Freunden gewesen und habe in besagtem Laden nur eingekauft. Bei diesem Einwand handelt es sich offensichtlich um eine Schutzbehauptung, traf doch die Kantonspolizei Zürich anlässlich ihrer Kontrolle im fraglichen Lebensmittelladen den Beschwerdeführer und eine weitere ausländische Person gemäss Verhaftsrapport vom 30. Mai 2017 beim Verlassen der Backstube an. Das Bundesverwaltungsgericht hat keine Veranlassung, die polizeilichen Feststellungen in Zweifel zu ziehen, zumal der Beschwerdeführer anlässlich seiner polizeilichen Einvernahme klar zugegeben hat, einer unbewilligten Erwerbstätigkeit nachgegangen zu sein und seine Aussagen laut Sistierungsverfügung der Staatsanwaltschaft grundsätzlich mit denjenigen seiner beiden Arbeitgeber übereinstimmen sollen. Aus den Akten ergeben sich keinerlei Hinweise, wonach das Polizeiprotokoll, welches dem Beschwerdeführer in die albanische Sprache rückübersetzt worden ist, jedoch von diesem nachträglich als falsch bezeichnet wurde, fehlerhaft verfasst worden wäre. Schliesslich hat er jede Seite des Protokolls mit seiner Unterschrift bestätigt.</w:t>
      </w:r>
    </w:p>
    <w:p>
      <w:r>
        <w:rPr>
          <w:b/>
        </w:rPr>
        <w:t>E. 4.3</w:t>
      </w:r>
    </w:p>
    <w:p>
      <w:r>
        <w:t>Zusammenfassend stellt das Bundesverwaltungsgericht fest, dass der Beschwerdeführer in der Zeit von Ende Dezember 2016 bis Mitte April 2017 sowie seit 25. Mai 2017 bis zu seiner polizeilichen Anhaltung am 30. Mai 2017 einer Erwerbstätigkeit im Sinne des Gesetzes nachgegangen ist, ohne im Besitze der hierfür erforderlichen Bewilligung gewesen zu sein (Art. 115 Abs. 1 Bst. c AuG i.V.m. Art. 11 Abs. 2 AuG und Art. 1a VZAE). Da dessen Aufenthalt mit der Aufnahme der Erwerbstätigkeit zugleich illegal wurde (vgl. Art. 11 Abs. 1 AuG oder Urteil des BVGer C-7177/2015 vom 29. April 2016 E. 4.1 m.H.), ergibt sich hieraus der weitere, in der angefochtenen Verfügung nicht explizit aufgeführte Vorwurf des rechtswidrigen Aufenthaltes. Damit hat der Beschwerdeführer fraglos gegen die öffentliche Sicherheit und Ordnung verstossen und einen hinreichenden Anlass zur Verhängung eines Einreiseverbots bewirkt (vgl. Art. 67 Abs. 2 Bst. a AuG; Art. 80 Abs. 1 Bst. a VZAE), zumal sein Verhalten darauf schliessen lässt, dass er auch künftig keine Gewähr für ein Respektieren der schweizerischen Rechtsordnung bieten kann (vgl. nachfolgend E. 5.2).</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5.2</w:t>
      </w:r>
    </w:p>
    <w:p>
      <w:r>
        <w:t>Der Beschwerdeführer ging in der Schweiz - wie festgestellt - ohne Bewilligung einer Erwerbstätigkeit nach. Dieses Fehlverhalten wiegt objektiv gesehen nicht leicht. Es beinhaltet eine Missachtung ausländerrechtlicher Normen, denen im Interesse einer funktionierenden Rechtsordnung eine zentrale Bedeutung zukommt. Namentlich das generalpräventiv motivierte Interesse, die ausländerrechtliche Ordnung durch eine konsequente Massnahmenpraxis zu schützen, ist als gewichtig einzustufen.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C-6993/2014 vom 30. März 2015 E. 5.2 m.H.). In subjektiver Hinsicht gilt es zu berücksichtigen, dass sich der Beschwerdeführer gegenüber Strafbehörde und Bundesverwaltungsgericht völlig uneinsichtig gezeigt hat und das inkriminierte Verhalten trotz belastender Aktenlage (vgl. den Verhaftsrapport der Kantonspolizei Zürich vom 30. Mai 2017 sowie das mehrfach erwähnte Polizeiprotokoll gleichen Datums) nachträglich abgestritten hat. Vorliegend besteht somit ein gewichtiges öffentliches Interesse an der Fernhaltung des Beschwerdeführers.</w:t>
      </w:r>
    </w:p>
    <w:p>
      <w:r>
        <w:rPr>
          <w:b/>
        </w:rPr>
        <w:t>E. 5.3</w:t>
      </w:r>
    </w:p>
    <w:p>
      <w:r>
        <w:t>Die vom Beschwerdeführer geäusserten Interessen daran, weiterhin ohne besondere Restriktionen in die Schweiz bzw. den übrigen Schengen-Raum einreisen zu können, blieben sehr unbestimmt. In seiner Rechtsmitteleingabe machte er diesbezüglich lediglich geltend, die Fernhaltemassnahme verunmögliche es ihm, seine Freunde in der Schweiz oder in Liechtenstein besuchen zu können. In diesem Zusammenhang gilt es festzuhalten, dass es dem Beschwerdeführer freigestellt bleibt,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Die mit dem Einreiseverbot verbundenen Einschränkungen gilt es demnach zu relativieren.</w:t>
      </w:r>
    </w:p>
    <w:p>
      <w:r>
        <w:rPr>
          <w:b/>
        </w:rPr>
        <w:t>E. 5.4</w:t>
      </w:r>
    </w:p>
    <w:p>
      <w:r>
        <w:t>Aufgrund einer wertenden Gewichtung der sich entgegenstehenden Interessen gelangt das Bundesverwaltungsgericht zum Schluss, dass sich das auf zwei Jahre befristete Einreiseverbot unter Berücksichtigung der gängigen Praxis in vergleichbaren Fällen (vgl. etwa Urteile des BVGer C-481/2015 vom 19. Mai 2016, C-5190/2014 vom 25. September 2015 sowie C-1608/2015 vom 26. August 2015) als verhältnismässig und angemessen erweist. Die Möglichkeit, die Fernhaltemassnahme durch "irgendwelche Strafe im Austausch" aufzuheben, wie vom Beschwerdeführer vorgeschlagen, sehen die gesetzlichen Bestimmungen (vgl. Art. 67 AuG) nicht vor.</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