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F-353/2026 vom 22. Januar 2026</w:t>
      </w:r>
    </w:p>
    <w:p>
      <w:r>
        <w:t>Bundesverwaltungsgericht, 2026-01-22, DE</w:t>
      </w:r>
    </w:p>
    <w:p>
      <w:r>
        <w:rPr>
          <w:b/>
        </w:rPr>
        <w:t xml:space="preserve">Quelle: </w:t>
      </w:r>
      <w:r>
        <w:t>https://mcp.opencaselaw.ch/entscheid/bvger_F-353_2026</w:t>
      </w:r>
    </w:p>
    <w:p>
      <w:r>
        <w:t>FR: TAF F-353/2026 du 22 janvier 2026</w:t>
      </w:r>
    </w:p>
    <w:p>
      <w:r>
        <w:t>IT: TAF F-353/2026 del 22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Der Beschwerdeführer beantragt die vollumfängliche Aufhebung der angefochtenen Verfügung und die Anerkennung als Minderjähriger. Er formuliert jedoch keine Änderungsbegehren bezüglich des Eintrags im ZEMIS und setzt sich auch in der Beschwerdebegründung nicht explizit mit dem ZEMIS-Eintrag auseinander. Auch verweist er einzig auf die 5-tägige Beschwerdefrist gemäss Art. 108 Abs. 3 AsylG (SR 142.31), ohne Ausführungen zu der bei einer ZEMIS-Datenänderung geltenden Beschwerdefrist von 30 Tagen (Art. 50 Abs. 1 VwVG) zu machen. Es ist somit davon auszugehen, dass die Beschwerde die Datenänderung im ZEMIS nicht miterfasst. Es steht dem Beschwerdeführer frei, innerhalb der noch laufenden Beschwerdefrist eine solche Beschwerde einzureichen.</w:t>
      </w:r>
    </w:p>
    <w:p>
      <w:r>
        <w:rPr>
          <w:b/>
        </w:rPr>
        <w:t>E. 1.2</w:t>
      </w:r>
    </w:p>
    <w:p>
      <w:r>
        <w:t>Das Bundesverwaltungsgericht ist zuständig (Art. 105 AsylG;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w:t>
      </w:r>
    </w:p>
    <w:p>
      <w:r>
        <w:rPr>
          <w:b/>
        </w:rPr>
        <w:t>E. 2.3</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3.1</w:t>
      </w:r>
    </w:p>
    <w:p>
      <w:r>
        <w:t>Einleitend ist festzuhalten, dass der Beschwerdeführer die geltend gemachte Minderjährigkeit nicht anhand rechtsgenüglicher Identitätsdokumente zu belegen vermag. Die Tazkira ist lediglich in Kopie vorhanden. Aus dieser geht hervor, dass sein Alter im Jahr 1393 (entspricht im gregorianischen Kalender 2014/2015) auf sechs Jahre geschätzt wurde. Das entspricht einem Geburtsjahr 2008 beziehungsweise 2009. Tazkiras gelten nicht als fälschungssichere Dokumente. Deshalb ist hinsichtlich der Frage der Identität von Inhabern eines solchen Dokuments praxisgemäss von einem geringen Beweiswert auszugehen (vgl. statt vieler: Urteil des BVGer F-8255/2025 vom 5. November 2025 E. 4.4). Die Ausbildungszertifikate und Zeugnisse des Beschwerdeführers enthalten keine (erkennbaren) Angaben zu seinem Alter.</w:t>
      </w:r>
    </w:p>
    <w:p>
      <w:r>
        <w:rPr>
          <w:b/>
        </w:rPr>
        <w:t>E. 3.2</w:t>
      </w:r>
    </w:p>
    <w:p>
      <w:r>
        <w:t>Auf dem Personalienblatt vermerkte der Beschwerdeführer den (...) Oktober 2008 als Geburtsdatum und gab auch anlässlich der Erstbefragung UMA stets dieses Datum an. Er konnte dieses auch korrekt in seine Biografie einordnen. Insgesamt sind seine Aussagen zu seinem Alter anlässlich der Erstbefragung UMA als Indiz für seine Minderjährigkeit zu werten.</w:t>
      </w:r>
    </w:p>
    <w:p>
      <w:r>
        <w:rPr>
          <w:b/>
        </w:rPr>
        <w:t>E. 3.3</w:t>
      </w:r>
    </w:p>
    <w:p>
      <w:r>
        <w:t>Für das Vorliegen der Volljährigkeit spricht hingegen, dass die kroatischen Behörden dem Gesuch um Wiederaufnahme zugestimmt haben, im Wissen darum, dass der Beschwerdeführer vorbringt, minderjährig zu sein. Damit lassen die kroatischen Behörden erkennen, dass sie keine wesentlichen Zweifel an der Volljährigkeit des Beschwerdeführers haben.</w:t>
      </w:r>
    </w:p>
    <w:p>
      <w:r>
        <w:rPr>
          <w:b/>
        </w:rPr>
        <w:t>E. 3.4</w:t>
      </w:r>
    </w:p>
    <w:p>
      <w:r>
        <w:t>Zu den vom Beschwerdeführer angeführten Vorbehalten zum Altersgutachten gilt es Folgendes festzuhalten: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3.5</w:t>
      </w:r>
    </w:p>
    <w:p>
      <w:r>
        <w:t>Das Altersgutachten vom Institut für Rechtsmedizin der Universität Basel vom (...) November 2025 stützt sich auf eine forensische Untersuchung, ein Röntgenbild der linken Hand, eine Computertomographie der Schlüsselbein-Brustbein-Gelenke und eine Panoramaschichtaufnahme des Gebisses. Es kommt zusammenfassend zum Schluss eines Mindestalters von 19.0 Jahren (die Computertomographie der Schlüsselbeine ergab ein Mindestalter von 19 Jahren, das odontologische Mindestalter lag unter 18 Jahren). Das vom Beschwerdeführer angegebene Lebensalter von 17 Jahren und (...) sei gemäss Gutachten mit den erhobenen Befunden nicht zu vereinbaren. Der Beschwerdeführer habe mit an Sicherheit grenzender Wahrscheinlichkeit das 18. Lebensjahr vollendet und die Volljährigkeit erreicht. Aufgrund dieses Befunds ist das Altersgutachten in Übereinstimmung mit der Vorinstanz als starkes Indiz für die Volljährigkeit des Beschwerdeführers zu werten (vgl. BVGE 2018 VI/3 E. 4.2.2).</w:t>
      </w:r>
    </w:p>
    <w:p>
      <w:r>
        <w:rPr>
          <w:b/>
        </w:rPr>
        <w:t>E. 3.6</w:t>
      </w:r>
    </w:p>
    <w:p>
      <w:r>
        <w:t>In einer Gesamtschau überwiegen die Indizien, welche für die Volljährigkeit des Beschwerdeführers sprechen. Es ist ihm nicht gelungen, die geltend gemachte Minderjährigkeit glaubhaft zu machen.</w:t>
      </w:r>
    </w:p>
    <w:p>
      <w:r>
        <w:rPr>
          <w:b/>
        </w:rPr>
        <w:t>E. 3.7</w:t>
      </w:r>
    </w:p>
    <w:p>
      <w:r>
        <w:t>Die Vorinstanz ging nach dem Gesagten zutreffend von der Volljährigkeit des Beschwerdeführers aus. Aufgrund der Volljährigkeit ist eine vorrangige Zuständigkeit der Schweiz gestützt auf Art. 8 Abs. 4 Dublin-III-VO zu verneinen.</w:t>
      </w:r>
    </w:p>
    <w:p>
      <w:r>
        <w:rPr>
          <w:b/>
        </w:rPr>
        <w:t>E. 4.1</w:t>
      </w:r>
    </w:p>
    <w:p>
      <w:r>
        <w:t>Die Vorinstanz hat korrekt erwogen, dass gemäss Art. 20 Abs. 5 Dublin-III-VO grundsätzlich Kroatien für das Asylverfahren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Das Vorbringen des Beschwerdeführers, ihm seien die Fingerabdrücke unter Zwang abgenommen worden, hat die Vorinstanz rechtsprechungskonform gewürdigt. Ferner hat sie seine Aussage berücksichtigt, er leide unter Stress und Sorgen, und korrekt erwogen, dass ihm in Kroatien der Zugang zu medizinischer Notversorgung und unbedingt erforderlichen Behandlungen von Krankheiten und schweren psychischen Störungen offensteht.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seine Wegweisung nach Kroatien angeordnet (Art. 44 AsylG). Zur näheren Begründung wird auf die Erwägungen der Vorinstanz verwiesen.</w:t>
      </w:r>
    </w:p>
    <w:p>
      <w:r>
        <w:rPr>
          <w:b/>
        </w:rPr>
        <w:t>E. 4.2</w:t>
      </w:r>
    </w:p>
    <w:p>
      <w:r>
        <w:t>Was der Beschwerdeführer auf Rechtsmittelebene vorbringt, vermag an der Richtigkeit der angefochtenen Verfügung nichts zu ändern. Die vom Beschwerdeführer wiedergegebenen Urteile deutscher Gerichte (welche das Bundesverwaltungsgericht ohnehin nicht binden) und die Berichte von Nichtregierungsorganisationen zur Situation von Asylsuchenden in Kroatien vermögen keine systemischen Mängel im Sinne von Art. 3 Abs. 2 Dublin-III-VO zu belegen. Für eine Änderung der Rechtsprechung (zu den Voraussetzungen: BGE 147 V 342 E. 5.5.1) besteht in Würdigung der Äusserungen des Beschwerdeführers keine Veranlassung. Es ist demnach davon auszugehen, dass Gesuchstellende, welche gestützt auf die Dublin-III-VO nach Kroatien überstellt werden, Zugang zum dortigen Asylverfahren erhalten und Kroatien die Sicherheit von gestützt auf die Dublin-III-VO überstellten Personen garantiert und deren Rechte gemäss dem internationalen Recht einhält. Auch besteht keine beachtliche Wahrscheinlichkeit einer Verletzung der aus dem Refoulement-Verbot fliessenden Rechte der Asylsuchenden. Kroatien ist Signatarstaat der EMRK und des Übereinkommens vom 10. Dezember 1984 gegen Folter und andere grausame, unmenschliche oder erniedrigende Behandlung oder Strafe (FoK, SR 0.105) und hat die entsprechenden völkerrechtlichen Verpflichtungen zu beachten. Der Beschwerdeführer hat kein konkretes und ernsthaftes Risiko dargetan, die ihn bei einer Rückführung erwartenden Bedingungen seien derart schlecht, dass sie zu einer Verletzung von Art. 4 der EU-Grundrechtecharta, Art. 3 EMRK oder Art. 3 FoK führen könnten oder dass Kroatien ihm die ihm gemäss der Richtlinie 2013/33/EU des Europäischen Parlaments und des Rates vom 26. Juni 2013 zur Festlegung von Normen für die Aufnahme von Personen, die internationalen Schutz beantragen (Aufnahmerichtlinie) zustehenden minimalen Lebensbedingungen vorenthalten würde. Bei einer allfälligen vorübergehenden Einschränkung könnte er sich im Übrigen nötigenfalls an die Behörden wenden und die ihm zustehenden Aufnahmebedingungen auf dem Rechtsweg einfordern (vgl. Art. 26 Aufnahmerichtlinie). Sein Einwand, er habe in Kroatien de facto keine Möglichkeit, sich gegen Polizeigewalt juristisch zu wehren, vermag nicht zu überzeugen, geht aus den Akten doch nicht hervor und wird von ihm auch nicht geltend gemacht, dass er versucht hätte, sich an die kroatischen Behörden zu wenden. Allein seine Aufenthaltsdauer von einer Nacht in Kroatien lässt Zweifel daran aufkommen, dass er konkrete Massnahmen zu ergreifen versucht hätte. In Bezug auf die geltend gemachten Sorgen und Stress kann auf die zutreffenden Ausführungen der Vorinstanz verwiesen werden. Sollte der Beschwerdeführer auf medizinische Unterstützung in Kroatien angewiesen sein, ist darauf hinzuweisen, dass das Bundesverwaltungsgericht davon ausgeht, dass Kroatien über eine ausreichende medizinische Infrastruktur verfügt (statt vieler: Urteil des BVGer F-4895/2024 vom 12. August 2024 E. 5.6). Entsprechend liegt entgegen der Ansicht des Beschwerdeführers keine Ermessensunterschreitung (vgl. E. 4.1) und auch keine Verletzung des Untersuchungsgrundsatzes vor.</w:t>
      </w:r>
    </w:p>
    <w:p>
      <w:r>
        <w:rPr>
          <w:b/>
        </w:rPr>
        <w:t>E. 4.3</w:t>
      </w:r>
    </w:p>
    <w:p>
      <w:r>
        <w:t>Vor diesem Hintergrund sind die Eventualanträge auf Rückweisung der Sache an die Vorinstanz zwecks Neubeurteilung und auf Anweisung der Vorinstanz, verbindliche Zusicherungen bezüglich der Unterbringung, dem Zugang zum Asylverfahren und der medizinischen Versorgung von den kroatischen Behörden einzuholen, abzuweisen.</w:t>
      </w:r>
    </w:p>
    <w:p>
      <w:r>
        <w:rPr>
          <w:b/>
        </w:rPr>
        <w:t>E. 5</w:t>
      </w:r>
    </w:p>
    <w:p>
      <w:r>
        <w:t>Nach dem Gesagten ist die angefochtene Verfügung vom 12. Januar 2026 betreffend Nichteintreten auf das Asylgesuch und Wegweisung nicht zu beanstanden und die Beschwerde ist abzuweisen.</w:t>
      </w:r>
    </w:p>
    <w:p>
      <w:r>
        <w:rPr>
          <w:b/>
        </w:rPr>
        <w:t>E. 6</w:t>
      </w:r>
    </w:p>
    <w:p>
      <w:r>
        <w:t>Mit vorliegendem Urteil fällt der am 19. Januar 2026 angeordnete Vollzugsstopp dahin und der Antrag auf Erteilung der aufschiebenden Wirkung der Beschwerde wird gegenstandslos.</w:t>
      </w:r>
    </w:p>
    <w:p>
      <w:r>
        <w:rPr>
          <w:b/>
        </w:rPr>
        <w:t>E. 7</w:t>
      </w:r>
    </w:p>
    <w:p>
      <w:r>
        <w:t>Die Begehren erweisen sich als aussichtslos, weshalb das Gesuch um unentgeltliche Prozessführung (Art. 65 Abs. 1 VwVG)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