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F-3533/2016 vom 31. Mai 2017</w:t>
      </w:r>
    </w:p>
    <w:p>
      <w:r>
        <w:t>Bundesverwaltungsgericht, 2017-05-31, DE</w:t>
      </w:r>
    </w:p>
    <w:p>
      <w:r>
        <w:rPr>
          <w:b/>
        </w:rPr>
        <w:t xml:space="preserve">Quelle: </w:t>
      </w:r>
      <w:r>
        <w:t>https://mcp.opencaselaw.ch/entscheid/bvger_F-3533_2016</w:t>
      </w:r>
    </w:p>
    <w:p>
      <w:r>
        <w:t>FR: TAF F-3533/2016 du 31 mai 2017</w:t>
      </w:r>
    </w:p>
    <w:p>
      <w:r>
        <w:t>IT: TAF F-3533/2016 del 31 maggio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 2 Bst. a AuG kann das SEM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3.2</w:t>
      </w:r>
    </w:p>
    <w:p>
      <w:r>
        <w:t>Das in Art. 67 AuG geregelte Einreiseverbot, welches die Einreise oder die Rückkehr einer unerwünschten Ausländerin oder eines unerwünschten Ausländers verhindern soll, stellt keine Sanktion für vergangenes Fehlverhalten dar, sondern ist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142.021) ein Verstoss gegen die öffentliche Sicherheit und Ordnung unter anderem dann vor, wenn gesetzliche Vorschriften oder behördliche Verfügungen missachtet werden (Bst. a) oder wenn öffentlich-rechtliche oder privatrechtliche Verpflichtungen nicht erfüllt werden (Bst. b). Widerhandlungen gegen Normen des Ausländerrechts fallen ohne Weiteres unter diese Begriffsbestimmung und können ein Einreiseverbot nach sich ziehen (vgl. Botschaft, a.a.O., S. 3813). Von daher ist die Anordnung eines Einreiseverbots zwar vom Risiko einer künftigen Gefährdung - anknüpfend an das frühere Verhalten der betroffenen Person - abhängig (vgl. Urteil des BVGer C-3791/2013 vom 26. September 2014 E. 3.3 m.H.), doch ein solches Risiko bereits von Gesetzes wegen vermutet wird (vgl. Botschaft, a.a.O., S 3760).</w:t>
      </w:r>
    </w:p>
    <w:p>
      <w:r>
        <w:rPr>
          <w:b/>
        </w:rPr>
        <w:t>E. 4.1</w:t>
      </w:r>
    </w:p>
    <w:p>
      <w:r>
        <w:t>Die Vorinstanz hat das gegen den Beschwerdeführer verhängte Einreiseverbot damit begründet, dass dessen Verhalten, um sich einen dauerhaften Aufenthalt in der Schweiz zu sichern, missbräuchlich gewesen sei. Sie erwähnte dabei explizit das Eingehen und Aufrechterhalten einer Scheinehe und erachtete dieses Vorgehen als Verstoss gegen die öffentliche Sicherheit und Ordnung, weshalb der Erlass eines dreijährigen Einreiseverbots verhältnismässig sei.</w:t>
      </w:r>
    </w:p>
    <w:p>
      <w:r>
        <w:rPr>
          <w:b/>
        </w:rPr>
        <w:t>E. 4.2</w:t>
      </w:r>
    </w:p>
    <w:p>
      <w:r>
        <w:t>Ob eine Scheinehe geschlossen wurde bzw. ob die Ehe bloss formell besteht, entzieht sich in der Regel dem direkten Beweis und ist nur durch Indizien zu erstellen (BGE 130 II 113 E. 10.2 und 10.3 m.H.).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(vgl. zum Ganzen BGE 128 II 145 E. 3).</w:t>
      </w:r>
    </w:p>
    <w:p>
      <w:r>
        <w:rPr>
          <w:b/>
        </w:rPr>
        <w:t>E. 4.3</w:t>
      </w:r>
    </w:p>
    <w:p>
      <w:r>
        <w:t>Der hierzu massgebliche Sachverhalt präsentiert sich aufgrund der Akten wie folgt: Aus der Beziehung des Beschwerdeführers mit seiner heutigen Ehefrau entstammen drei Kinder, die am 18. Oktober 1998, 7. Januar 2002 sowie 25. Juni 2005 im Kosovo geboren wurden. Während seines ersten Besuchs in der Schweiz lernte er nach eigenen Angaben im Frühjahr 2003 eine um 20 Jahre ältere Schweizer Bürgerin kennen, welche er im Dezember 2004 heiratete, worauf ihm eine Aufenthaltsbewilligung zum Verbleib bei seiner Ehefrau im Kanton Bern erteilt wurde. Sein drittes Kind hatte der Beschwerdeführer nur knapp drei Monate vor der Eheschliessung mit der Schweizerin gezeugt, von der er sich - mittlerweile im Besitze einer Niederlassungsbewilligung - im Juni 2011 scheiden liess. Im Oktober 2012 erfolgte die (zivilrechtliche) Heirat des Beschwerdeführers mit der Mutter seiner drei Kinder, mit der er eigenen Angaben zufolge (vgl. sein Visumsgesuch vom 16. Dezember 2002, in welchem er sich als "verheiratet" bezeichnete) und gemäss den Angaben seines Bruders (MI-act, 62 und 66) mit dieser bereits "traditionell" verheiratet war. Seinem anschliessenden Gesuch um Familiennachzug gab die kantonale Migrationsbehörde aufgrund der in seiner Heimat geführten Parallelbeziehung in der Folge nicht statt, widerrief seine Niederlassungsbewilligung und ordnete dessen Wegweisung aus der Schweiz an. Dieser Entscheid ist mit Urteil des BGer 2C_113/2016 vom 29. Februar 2016 in Rechtskraft erwachsen. Das Bundesgericht hat in diesem Urteil - unter Hinweis auf die ausführlichen und zutreffenden Erwägungen im Urteil des Verwaltungsgerichts des Kantons Aargau vom 15. Dezember 2015 - festgestellt, der Beschwerdeführer habe es unterlassen, die Ausländerbehörden über seine wahren familiären Verhältnisse, nämlich die Parallelbeziehung zur Mutter seiner Kinder, zu informieren, und habe dadurch eine Aufenthalts- bzw. Niederlassungsbewilligung in der Schweiz erschlichen. Mit seinem täuschenden Verhalten habe er die Verpflichtung missachtet, den Behörden über alles Auskunft zu geben, was für den Bewilligungsentscheid hätte massgeblich sein können. Aus diesen Urteilserwägungen ergibt sich klar, dass mit dem mutwilligen Ignorieren der gegenüber den Ausländerbehörden bestehenden Auskunftspflicht - insbesondere durch das Verschweigen seines im Kosovo während seiner Schweizer Ehe geborenen dritten Kindes - fraglos ein Verstoss gegen die öffentliche Sicherheit und Ordnung einherging (vgl. den Wortlaut von Art. 80 Abs. 1 Bst. b VZAE). Das Argument des Rechtsvertreters, wonach sich die kantonale Migrationsbehörde beim Widerruf der Niederlassungsbewilligung nicht auf Art. 63 Abs. 1 Bst. b i.V.m. Art. 62 Bst. c AuG ("Verstoss gegen die öffentliche Sicherheit und Ordnung in der Schweiz oder im Ausland") abgestützt habe, womit erwiesen sei, dass das Verschweigen von Tatsachen keinen Verstoss gegen die öffentliche Sicherheit und Ordnung bzw. keine Gefährdung derselben darstelle, schlägt schon deshalb fehl, weil die Anordnung einer Fernhaltemassnahme auf einer andern gesetzlichen Grundlage (Art. 67 AuG) beruht als der Widerruf einer Niederlassungsbewilligung (Art. 63 AuG). Die eigene Überzeugung des Beschwerdeführers, von ihm werde künftig keine entsprechende Gefahr mehr ausgehen, ist aufgrund der gegenteiligen gesetzlichen Vermutung (vgl. E. 3.2) nicht massgeblich (vgl. Urteil des BVGer C-323/2013 vom 14. April 2014 E. 4). Nach bundesverwaltungsgerichtlicher Rechtsprechung ist von einem klaren und schwerwiegenden Verstoss gegen die öffentliche Ordnung auszugehen, wenn eine ausländische Person eine Ehe deshalb eingeht bzw. eine gelebte und intakte Ehe vortäuscht, um ausländerrechtliche Bestimmungen zu umgehen (vgl. Urteil des BVGer F-4369/2015 vom 18. Oktober 2016 E. 4.4 m.H.), was im Übrigen auch spezialgesetzlich unter Strafe gesetzt ist ("Täuschung der Behörden"; Art. 118 AuG). Die Voraussetzungen für ein Einreiseverbot gemäss Art. 67 Abs. 2 Bst. a AuG sind somit fraglos erfüllt.</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5.2</w:t>
      </w:r>
    </w:p>
    <w:p>
      <w:r>
        <w:t>Der Beschwerdeführer hat über Jahre hinweg durch das Verschweigen von wesentlichen Tatsachen die Ausländerbehörden im Glauben gelassen, in einer intakten Ehe mit einer Schweizer Bürgerin zu leben. Dadurch hat er sich erhebliche aufenthaltsrechtliche Vorteile verschafft. Solches Fehlverhalten wiegt objektiv gesehen schwer. Aus dem von ihm manifestierten Verhalten ist auf eine Gefährdung der öffentlichen Sicherheit und Ordnung zu schliessen, d.h. das Einreiseverbot hat auch spezialpräventiven Charakter, um weiteren illegalen Handlungen entgegenzuwirken.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Interesse an der Fernhaltung des Beschwerdeführers.</w:t>
      </w:r>
    </w:p>
    <w:p>
      <w:r>
        <w:rPr>
          <w:b/>
        </w:rPr>
        <w:t>E. 5.3</w:t>
      </w:r>
    </w:p>
    <w:p>
      <w:r>
        <w:t>Den öffentlichen Interessen sind die privaten Interessen des Beschwerdeführers gegenüberzustellen. In seiner Beschwerde hält er fest, er sei in der Schweiz stets einer Arbeit nachgegangen und habe sich vom Hilfsarbeiter zum Vorarbeiter emporgearbeitet. Er habe sich hier sozial und wirtschaftlich sehr gut integriert, sei seinen Verpflichtungen immer nachgekommen und habe zu keinen Klagen Anlass gegeben. Da er in der Schweiz und in Europa ein enges familiäres und freundschaftliches Beziehungsnetz unterhalte, sei die Verfügung eines derart weitreichenden Einreiseverbots auch unverhältnismässig.</w:t>
      </w:r>
    </w:p>
    <w:p>
      <w:r>
        <w:rPr>
          <w:b/>
        </w:rPr>
        <w:t>E. 5.4</w:t>
      </w:r>
    </w:p>
    <w:p>
      <w:r>
        <w:t>Wie bereits ausgeführt, kann von einem tadellosen Leumund keine Rede sein, hat der Beschwerdeführer doch über Jahre hinweg ein rechtsmissbräuchliches Verhalten an den Tag gelegt. Die Pflege regelmässiger verwandtschaftlicher bzw. freundschaftlicher Kontakte zur Schweiz scheitert grundsätzlich bereits am fehlenden Anwesenheitsrecht hierzulande, nachdem die Niederlassungsbewilligung des Beschwerdeführers rechtskräftig widerrufen worden war. Zudem werden dem Beschwerdeführer mit vorliegendem Urteil künftige Besuchsaufenthalte in der Schweiz nicht schlichtweg untersagt. Es steht ihm - wie die Vorinstanz in ihrer Verfügung zu Recht festgehalten hat - offen, zu gegebener Zeit ein begründetes Gesuch um vorübergehende Suspension der angeordneten Fernhaltemassnahme zu stellen (vgl. Art. 67 Abs. 5 AuG).</w:t>
      </w:r>
    </w:p>
    <w:p>
      <w:r>
        <w:rPr>
          <w:b/>
        </w:rPr>
        <w:t>E. 5.5</w:t>
      </w:r>
    </w:p>
    <w:p>
      <w:r>
        <w:t>Eine wertende Gewichtung der sich entgegenstehenden Interessen führt damit zum Schluss, dass das auf drei Jahre befristete Einreiseverbot auch unter Berücksichtigung der gängigen Praxis in vergleichbaren Fällen eine verhältnismässige und angemessene Massnahme zum Schutz der öffentlichen Sicherheit und Ordnung darstellt.</w:t>
      </w:r>
    </w:p>
    <w:p>
      <w:r>
        <w:rPr>
          <w:b/>
        </w:rPr>
        <w:t>E. 6</w:t>
      </w:r>
    </w:p>
    <w:p>
      <w:r>
        <w:t>Schliesslich bleibt die Rechtmässigkeit der von der Vorinstanz angeordneten Ausschreibung des Einreiseverbots im SIS zu prüfen:</w:t>
      </w:r>
    </w:p>
    <w:p>
      <w:r>
        <w:rPr>
          <w:b/>
        </w:rPr>
        <w:t>E. 6.1</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der Verordnung [EU] Nr. 2016/399 des Europäischen Parlaments und des Rates vom 9. März 2016 [kodifizierter Text]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6.2</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der Verordnung [EG] Nr. 1987/2006 über die Einrichtung, den Betrieb und die Nutzung des Schengener Informationssystems der zweiten Generation [SIS-II-VO, Abl. L 381/4 vom 20. Dezember 2006]).Voraussetzung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plant (Art. 24 Ziff. 2 Bst. b SIS-II-VO). Weiter kann eine Ausschreibung eingegeben werden, wenn die Entscheidung nach Ziff. 1 darauf beruht, dass der Drittstaatsangehörige ausgewiesen, zurückgeschoben oder ausgeschafft worden ist (Art. 24 Ziff. 3 erster Teilsatz SIS-II-VO).</w:t>
      </w:r>
    </w:p>
    <w:p>
      <w:r>
        <w:rPr>
          <w:b/>
        </w:rPr>
        <w:t>E. 6.3</w:t>
      </w:r>
    </w:p>
    <w:p>
      <w:r>
        <w:t>Der Beschwerdeführer kann als Drittstaatsangehöriger grundsätzlich zur Einreise- bzw. Aufenthaltsverweigerung im SIS ausgeschrieben werden. Gemäss Art. 24 Ziff. 3 SIS-II-VO sind die Voraussetzungen für die Ausschreibung zur Einreiseverweigerung im SIS gegeben. Die Vor-instanz hat die Ausschreibung demnach zurecht erlassen, ist doch die Schweiz dem Grundsatz der loyalen Zusammenarbeit bei der Administration des gemeinsamen Raums der Freiheit, der Sicherheit und des Rechts, auf dem das Schengen-System beruht, zur Wahrung der Interessen der Gesamtheit der Schengen-Staaten verpflichtet (BVGE 2011/48 E. 6.1). Die Schweiz hat damit in Rechnung zu stellen, dass wegen des Wegfalls der systematischen Personenkontrollen an den Schengen-Innengrenzen Einreiseverbote und ähnliche Massnahmen ihre volle Wirkung nur entfalten können, wenn sich ihre Geltung und ihre Durchsetzbarkeit nicht auf einzelne Schengen-Staaten beschränken. Eine mit der Ausschreibung einhergehende zusätzliche Beeinträchtigung der persönlichen Bewegungsfreiheit hat der Beschwerdeführer mithin in Kauf zu nehmen (vgl. Urteil des BVGer C-7086/2014 vom 14. Oktober 2015 E. 6.4).</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