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F-3532/2022 vom 17. August 2023</w:t>
      </w:r>
    </w:p>
    <w:p>
      <w:r>
        <w:t>Bundesverwaltungsgericht, 2023-08-17, DE</w:t>
      </w:r>
    </w:p>
    <w:p>
      <w:r>
        <w:rPr>
          <w:b/>
        </w:rPr>
        <w:t xml:space="preserve">Quelle: </w:t>
      </w:r>
      <w:r>
        <w:t>https://mcp.opencaselaw.ch/entscheid/bvger_F-3532_2022</w:t>
      </w:r>
    </w:p>
    <w:p>
      <w:r>
        <w:t>FR: TAF F-3532/2022 du 17 août 2023</w:t>
      </w:r>
    </w:p>
    <w:p>
      <w:r>
        <w:t>IT: TAF F-3532/2022 del 17 agosto 2023</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47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3.1</w:t>
      </w:r>
    </w:p>
    <w:p>
      <w:r>
        <w:t>Gemäss Art. 21 Abs. 1 BüG kann eine Person, die eine ausländische Staatsangehörigkeit besitzt, nach der Eheschliessung mit einer Schweizerin oder einem Schweizer ein Gesuch um erleichterte Einbürgerung stellen, wenn sie seit drei Jahren in ehelicher Gemeinschaft mit dem Ehemann oder der Ehefrau lebt sowie insgesamt fünf Jahre in der Schweiz gewohnt hat, wovon ein Jahr unmittelbar vor Einreichung des Gesuchs. Art. 20 BüG statuierte als materielle Voraussetzungen, dass die Integrationskriterien nach Art. 12 Abs. 1 und 2 BüG erfüllt sein müssen (Abs. 1) und die Bewerberin oder der Bewerber die innere oder äussere Sicherheit der Schweiz nicht gefährdet (Abs. 2).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 oder sich in einer anderen Weise verhält, die in grobem Widerspruch steht zum traditionellen Bild der Ehe als einer ungeteilten, von Treue und Beistand getragenen Geschlechtergemeinschaft zwischen zwei Menschen (Urteil des BVGer F-4903/2020 vom 28. Februar 2022 E. 5.2).</w:t>
      </w:r>
    </w:p>
    <w:p>
      <w:r>
        <w:rPr>
          <w:b/>
        </w:rPr>
        <w:t>E. 4.1</w:t>
      </w:r>
    </w:p>
    <w:p>
      <w:r>
        <w:t>Nach Art. 36 Abs. 1 BüG kann die Einbürgerung vom SEM für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entsprechenden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4.3</w:t>
      </w:r>
    </w:p>
    <w:p>
      <w:r>
        <w:t>Die Täuschungshandlung der gesuchstellenden Person muss sich auf einen erheblichen Sachverhalt beziehen. Erheblich im Sinne von Art. 36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5.1</w:t>
      </w:r>
    </w:p>
    <w:p>
      <w:r>
        <w:t>Die Möglichkeit der Nichtigerklärung geht durch Zeitablauf unter. Art. 36 Abs. 2 BüG statuierte hierfür eine differenzierte Fristenregelung.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w:t>
      </w:r>
    </w:p>
    <w:p>
      <w:r>
        <w:rPr>
          <w:b/>
        </w:rPr>
        <w:t>E. 5.2</w:t>
      </w:r>
    </w:p>
    <w:p>
      <w:r>
        <w:t>Vorliegend sind die Fristen eingehalten. Die formellen Voraussetzungen für die Nichtigerklärung der erleichterten Einbürgerung sind somit erfüllt.</w:t>
      </w:r>
    </w:p>
    <w:p>
      <w:r>
        <w:rPr>
          <w:b/>
        </w:rPr>
        <w:t>E. 6.1</w:t>
      </w:r>
    </w:p>
    <w:p>
      <w:r>
        <w:t>Das Verfahren für die Nichtigerklärung der erleichterten Einbürgerung richtet sich nach dem VwVG (vgl. Art. 1 Abs. 1 und 2 Bst. a VwVG). Gemäss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135 II 161 E. 3).</w:t>
      </w:r>
    </w:p>
    <w:p>
      <w:r>
        <w:rPr>
          <w:b/>
        </w:rPr>
        <w:t>E. 6.2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getäuscht hat (vgl. 7.2)</w:t>
      </w:r>
    </w:p>
    <w:p>
      <w:r>
        <w:rPr>
          <w:b/>
        </w:rPr>
        <w:t>E. 7.1</w:t>
      </w:r>
    </w:p>
    <w:p>
      <w:r>
        <w:t>Zweifel am Bestehen eines intakten gemeinsamen Willens zu einer stabilen ehelichen Gemeinschaft sind namentlich angebracht, wenn kurze Zeit nach der erleichterten Einbürgerung die Trennung erfolgt oder die Scheidung eingeleitet wird (BGE 135 II 161 E. 2 S. 165 mit Hinweisen). Als kurze Zeit gilt nach der Rechtsprechung eine Zeitspanne von bis zu zwei Jahren (Urteile 1C_466/2018 vom 15. Januar 2019 E. 5.3; 1C_377/2017 vom 12. Oktober 2017 E. 2.1.2 mit Hinweisen). Nach der erleichterten Einbürgerung der Beschwerdeführerin im April 2018 verstrichen gut acht Monate bis zum gemeinsamen Scheidungsbegehren im Januar 2019 und fast zehn Monate bis zur Scheidung Mitte Februar 2019. Rund 1 Monat länger dauerte es ab der Erklärung der Ehegatten Ende März 2018, in einer intakten Ehe zu leben und weder Trennungs- noch Scheidungsabsichten zu hegen. Angesichts dieser kurzen Zeitspannen durfte die Vorinstanz von der tatsächlichen Vermutung ausgehen, die Ehegatten hätten im Zeitpunkt der Erklärung und der erleichterten Einbürgerung nicht mehr in einer stabilen, von einem intakten gemeinsamen Ehewillen getragenen ehelichen Gemeinschaft gelebt.</w:t>
      </w:r>
    </w:p>
    <w:p>
      <w:r>
        <w:rPr>
          <w:b/>
        </w:rPr>
        <w:t>E. 7.2</w:t>
      </w:r>
    </w:p>
    <w:p>
      <w:r>
        <w:t>Nach dem Gesagten (E. 6.2) liegt es an der Beschwerdeführerin, die natürliche Vermutung zu entkräften. Sie ist gehalten, ein ausserordentliches, nach der erleichterten Einbürgerung eingetretenes Ereignis aufzuzeigen, das den nachfolgenden raschen Zerfall einer zuvor intakten ehelichen Beziehung plausibel erklärt oder, falls die Ehe zum Zeitpunkt der erleichterten Einbürgerung nicht mehr intakt war, glaubwürdig darzulegen, dass sie zum Zeitpunkt der erleichterten Einbürgerung in guten Treuen von einer intakten Ehe ausging und somit die Behörden weder aktiv noch passiv täuschte.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vertrauen (vgl. Urteil 1C_451/2020 vom 12. Mai 2021 E. 4.1).</w:t>
      </w:r>
    </w:p>
    <w:p>
      <w:r>
        <w:rPr>
          <w:b/>
        </w:rPr>
        <w:t>E. 8.1</w:t>
      </w:r>
    </w:p>
    <w:p>
      <w:r>
        <w:t>Im vorinstanzlichen Verfahren gaben die Beschwerdeführerin und ihr Ex-Ehegatte zusammengefasst übereinstimmend an, während des Einbürgerungsverfahrens in einer tatsächlichen Lebensgemeinschaft gelebt zu haben. Ab Herbst 2018 sei es erstmals zu Schwierigkeiten gekommen und die Beschwerdeführerin sei aus der ehelichen Wohnung ausgezogen. Als Grund für die Scheidung gibt der Ex-Ehegatte an, dass die Beschwerdeführerin einen neuen Partner kennenglernt habe. In Bezug auf die ehelichen Schwierigkeiten gibt er an, dass Unstimmigkeiten hinsichtlich der finanziellen Beteiligung am Lebensunterhalt bestanden haben. Die Beschwerdeführerin gibt ihren nicht erwiderten Kinderwunsch als hauptsächlichen Trennungsgrund und als weitere Ursache an, dass sie finanzielle Mittel für die Familienplanung hätte ausgeben wollen und der Ex-Ehegatte das ganze Guthaben ins Eigenheim habe investieren wollen. Die Frage des Kinderwunsches sei erst im Sommer 2018 aktuell geworden, da der absehbare Abschluss der zweiten Ausbildung als Lokführer des Ex-Ehegatten anfangs 2019 Zeit und Geld für den Kinderwunsch der Beschwerdeführerin geschaffen habe. Auf die Frage nach Auseinandersetzungen bezüglich finanzieller Mittel gibt der Ex-Ehegatte der Beschwerdeführerin an, dass die Beschwerdeführerin sich nicht in dem Masse am Eigenheim beteiligten wollte, wie er sich das vorgestellt habe. Auf die Frage nach den gemeinsamen Kindern hin gibt der Ex-Ehemann an, dass zu Beginn beide Kinder wollten, sich dieser Wunsch bei ihm mit der Zeit aber eingestellt habe.</w:t>
      </w:r>
    </w:p>
    <w:p>
      <w:r>
        <w:rPr>
          <w:b/>
        </w:rPr>
        <w:t>E. 8.2</w:t>
      </w:r>
    </w:p>
    <w:p>
      <w:r>
        <w:t>Die Vorinstanz geht im angefochtenen Entscheid davon aus, dass die Ex-Ehegatten im Zeitpunkt der rechtskräftigen erleichterten Einbürgerung der Beschwerdeführerin keine stabile Ehe im Sinne des Bürgerrechtsgesetzes mehr geführt und dies gegenüber den Einbürgerungsbehörden bewusst verschwiegen haben. Der hauptsächliche Grund für die Trennung sei die Kinderfrage gewesen. Im Gegensatz zur Beschwerdeführerin habe der Ex-Ehemann der Beschwerdeführerin keinen Kinderwunsch mehr gehabt. Die Beschwerdeführerin habe sodann auch finanzielle Mittel für die Familienplanung ausgeben wollen, der Ex-Ehemann habe diese hingegen für die Finanzierung eines Eigenheims verwenden wollen. Dieser Sachverhalt lasse die Vermutung zu, dass sich die Ex-Ehegatten schon seit längerer Zeit intensiv mit der Kinderfrage auseinandergesetzt haben und keine Einigung erzielen konnten. Die Ehe habe aufgrund dessen schon seit längerer Zeit nicht mehr die vom Gesetz verlangte Stabilität, Intaktheit und Zukunftsgerichtetheit aufgewiesen. Die Aussage der Betroffenen, wonach die Ehe im Zeitpunkt der Unterzeichnung der Erklärung betreffend eheliche Gemeinschaft bzw. des Einbürgerungsentscheids stabil gewesen sei, sei vor dem Hintergrund der von ihr geschilderten und seit längerer Zeit andauernden Unstimmigkeiten nicht nachvollziehbar.</w:t>
      </w:r>
    </w:p>
    <w:p>
      <w:r>
        <w:rPr>
          <w:b/>
        </w:rPr>
        <w:t>E. 8.3</w:t>
      </w:r>
    </w:p>
    <w:p>
      <w:r>
        <w:t>Die Beschwerdeführerin macht im Wesentlichen geltend, dass der Meinungswechsel des Ex-Ehegattens bezüglich der Kinderfrage im Sommer 2018 der Auslöser für die ehelichen Spannungen gewesen sei. Davor sei ein gemeinsamer Kindeswunsch vorhanden gewesen Die Diskussion sei erst dann aufgekommen, da die Beschwerdeführerin Anfang 2017 ihre Ausbildung abgeschlossen und eine gute Arbeitsstelle gefunden habe und der absehbare Abschluss der zweiten Ausbildung des Ex-Ehegattens Anfang 2018 Zeit und Geld für den Kinderwunsch geschaffen habe. Der hauptsächliche Scheidungsgrund seien dann jedoch nicht die Unstimmigkeiten auf die Kinderfrage hin, sondern der neue Partner der Beschwerdeführerin gewesen.</w:t>
      </w:r>
    </w:p>
    <w:p>
      <w:r>
        <w:rPr>
          <w:b/>
        </w:rPr>
        <w:t>E. 9.1</w:t>
      </w:r>
    </w:p>
    <w:p>
      <w:r>
        <w:t>Nachfolgend ist zu prüfen, ob es der Beschwerdeführerin gelingt, die Vermutung, wonach ihre Ehe im Zeitpunkt der letzten Erklärung (23. März 2018) bzw. der Einbürgerung (16. April 2018) zerrüttet gewesen sei, zu erschüttern (vgl. E. 7.2).</w:t>
      </w:r>
    </w:p>
    <w:p>
      <w:r>
        <w:rPr>
          <w:b/>
        </w:rPr>
        <w:t>E. 9.2</w:t>
      </w:r>
    </w:p>
    <w:p>
      <w:r>
        <w:t>Fraglich ist, ob die Aussage der Beschwerdeführerin wonach erst im Sommer 2018 - auf Erklärung des Ex-Ehegattens hin - klar gewesen sei, dass der gemeinsame Kindeswunsch nicht mehr bestand, glaubhaft ist.</w:t>
      </w:r>
    </w:p>
    <w:p>
      <w:r>
        <w:rPr>
          <w:b/>
        </w:rPr>
        <w:t>E. 9.3</w:t>
      </w:r>
    </w:p>
    <w:p>
      <w:r>
        <w:t>Gemäss Rechtsprechung ist die Familienplanung eine grundlegende Thematik, mit der sich jedes Paar im Laufe der Partnerschaft zwingend auseinandersetzen muss, zumal sie einen starken Einfluss auf die zukünftige Lebensgestaltung beider Partner hat (vgl. Urteil des BVGer F-5987/2020 vom 18. Januar 2023 E. 9.2). Die Zeitspanne zwischen der letzten Erklärung (23. März 2018) bzw. der erleichterten Einbürgerung (16. April 2018) und dem Meinungswechsel betreffend den Kinderwunsch des Ex-Ehegatten (Sommer 2018) beträgt nur sehr wenige Monate. Es ist von dem her nicht glaubhaft, dass der Ex-Ehegatte sich innert kürzester Zeit über eine so wichtige Thematik wie die Kinderfrage umentschieden hat. Es muss vielmehr von einem längerdauernden schleichenden Prozess ausgegangen werden, welcher schon vor dem Sommer 2018 eingetreten ist und die Ehegemeinschaft schrittweise geschwächt hat (vgl. Urteil des BVGer F-797/2022 vom 22. September 2022 E. 8.2; siehe auch Urteil des BGer 1C_493/ 2010 vom 28. Februar 2011 E. 6). Bekräftigend hinzu kommt, dass der Ex-Ehegatte der Beschwerdeführerin im vorinstanzlichen Verfahren auf die Fragen nach Schwierigkeiten in der Ehe und dem Trennungsgrund (nach Angabe des Beschwerdeführers als Scheidungsgrund aufgefasst) hin die Unstimmigkeiten bezüglich des Kinderwunsches nicht erwähnt. Bloss auf die spezifische Frage nach den fehlenden gemeinsamen Kindern hin, gibt er an, dass der Kinderwunsch bei ihm «während der Zeit» nicht mehr da gewesen sei. Wäre, wie von der Beschwerdeführerin behauptet, der fehlende Kinderwunsch des Ex-Ehegattens tatsächlich ein massgeblicher Auslöser der ehelichen Schwierigkeiten im Sommer 2018 gewesen, hätte der Ex-Ehegatte dies auf die spezifischen Fragen der Trennungsgründe hin wohl erwähnt. Zudem haben die Ex-Ehegatten die Frage nach dem Vorliegen eines speziellen Ereignisses, welche fähig gewesen wäre, die Ehe in kürzester Zeit zu zerrütten, verneint.</w:t>
      </w:r>
    </w:p>
    <w:p>
      <w:r>
        <w:rPr>
          <w:b/>
        </w:rPr>
        <w:t>E. 9.4</w:t>
      </w:r>
    </w:p>
    <w:p>
      <w:r>
        <w:t>Auch der neue Partner der Beschwerdeführerin stellt kein ausserordentliches Ereignis dar, da die Ex-Ehegatten nach eigenen Angaben zu diesem Zeitpunkt schon getrennt lebten. Dass es sich dabei nur um eine vorübergehende räumliche Trennung gehandelt hätte, erscheint aufgrund des Sachverhalts nicht plausibel.</w:t>
      </w:r>
    </w:p>
    <w:p>
      <w:r>
        <w:rPr>
          <w:b/>
        </w:rPr>
        <w:t>E. 9.5</w:t>
      </w:r>
    </w:p>
    <w:p>
      <w:r>
        <w:t>Es lag folglich kein ausserordentlich eingetretenes Ereignis vor, welches zum raschen Scheitern einer vormals intakten Ehe führte.</w:t>
      </w:r>
    </w:p>
    <w:p>
      <w:r>
        <w:rPr>
          <w:b/>
        </w:rPr>
        <w:t>E. 10</w:t>
      </w:r>
    </w:p>
    <w:p>
      <w:r>
        <w:t>Es ist der Beschwerdeführerin nicht gelungen, eine plausible Alternative zur dargestellten Vermutungsfolge zu präsentieren und damit die gegen sie sprechende tatsächliche Vermutung in Frage zu stellen, wonach sie und ihr damaliger Ehemann bereits im Zeitpunkt der Unterzeichnung der gemeinsamen Erklärung und der erleichterten Einbürgerung nicht (mehr) in einer tatsächlichen und stabilen ehelichen Gemeinschaft lebten. Es ist demnach davon auszugehen, dass die erleichterte Einbürgerung im Sinne von Art. 36 Abs. 1 BüG durch falsche Angaben und das Verheimlichen erheblicher Tatsachen erschlichen wurde. Damit sind die materiellen Voraussetzungen für die Nichtigerklärung der erleichterten Einbürgerung ebenfalls erfüllt.</w:t>
      </w:r>
    </w:p>
    <w:p>
      <w:r>
        <w:rPr>
          <w:b/>
        </w:rPr>
        <w:t>E. 11</w:t>
      </w:r>
    </w:p>
    <w:p>
      <w:r>
        <w:t>Art. 36 Abs. 1 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1C_466/2018 E. 5.5). Aus den Akten ergeben sich, wie oben dargelegt, keine ausserordentlichen Umstände.</w:t>
      </w:r>
    </w:p>
    <w:p>
      <w:r>
        <w:rPr>
          <w:b/>
        </w:rPr>
        <w:t>E. 12</w:t>
      </w:r>
    </w:p>
    <w:p>
      <w:r>
        <w:t>Aus diesen Erwägungen ergibt sich, dass die angefochtene Verfügung im Lichte von Art. 49 VwVG nicht zu beanstanden ist. Die Beschwerde ist daher abzuweisen.</w:t>
      </w:r>
    </w:p>
    <w:p>
      <w:r>
        <w:rPr>
          <w:b/>
        </w:rPr>
        <w:t>E. 13</w:t>
      </w:r>
    </w:p>
    <w:p>
      <w:r>
        <w:t>Bei diesem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