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F-3523/2017 vom 21. November 2017</w:t>
      </w:r>
    </w:p>
    <w:p>
      <w:r>
        <w:t>Bundesverwaltungsgericht, 2017-11-21, DE</w:t>
      </w:r>
    </w:p>
    <w:p>
      <w:r>
        <w:rPr>
          <w:b/>
        </w:rPr>
        <w:t xml:space="preserve">Quelle: </w:t>
      </w:r>
      <w:r>
        <w:t>https://mcp.opencaselaw.ch/entscheid/bvger_F-3523_2017</w:t>
      </w:r>
    </w:p>
    <w:p>
      <w:r>
        <w:t>FR: TAF F-3523/2017 du 21 novembre 2017</w:t>
      </w:r>
    </w:p>
    <w:p>
      <w:r>
        <w:t>IT: TAF F-3523/2017 del 21 novembre 2017</w:t>
      </w:r>
    </w:p>
    <w:p>
      <w:pPr>
        <w:pStyle w:val="Heading2"/>
      </w:pPr>
      <w:r>
        <w:t>Regeste</w:t>
      </w:r>
    </w:p>
    <w:p>
      <w:r>
        <w:t>Einreiseverbot</w:t>
      </w:r>
    </w:p>
    <w:p>
      <w:pPr>
        <w:pStyle w:val="Heading2"/>
      </w:pPr>
      <w:r>
        <w:t>Erwägungen</w:t>
      </w:r>
    </w:p>
    <w:p>
      <w:r>
        <w:rPr>
          <w:b/>
        </w:rPr>
        <w:t>E. 1</w:t>
      </w:r>
    </w:p>
    <w:p>
      <w:r>
        <w:t>Das Bundesverwaltungsgericht beurteilt Beschwerden gegen Verfügungen der Vorinstanz im Bereich Einreiseverbot (vgl. Art. 31 ff. VGG i.V.m. Art. 5 VwVG).</w:t>
      </w:r>
    </w:p>
    <w:p>
      <w:r>
        <w:rPr>
          <w:b/>
        </w:rPr>
        <w:t>E. 2.1</w:t>
      </w:r>
    </w:p>
    <w:p>
      <w:r>
        <w:t>Die Vorinstanz kann bis zu ihrer Vernehmlassung die angefochtene Verfügung in Wiedererwägung ziehen (Art. 58 Abs. 1 VwVG). Sie eröffnet eine neue Verfügung ohne Verzug den Parteien und bringt sie der Beschwerdeinstanz zur Kenntnis (Art. 58 Abs. 2 VwVG). Gestützt auf Art. 58 Abs. 3 erster Satz VwVG setzt die Beschwerdeinstanz die Behandlung der Beschwerde fort, soweit diese durch die neue Verfügung der Vorinstanz nicht gegenstandslos geworden ist.</w:t>
      </w:r>
    </w:p>
    <w:p>
      <w:r>
        <w:rPr>
          <w:b/>
        </w:rPr>
        <w:t>E. 2.2</w:t>
      </w:r>
    </w:p>
    <w:p>
      <w:r>
        <w:t>Der Instruktionsrichter oder die Instruktionsrichterin entscheidet als Einzelrichter beziehungsweise Einzelrichterin über die Abschreibung von gegenstandslos gewordenen Verfahren (Art. 23 Abs. 1 Bst. a VGG).</w:t>
      </w:r>
    </w:p>
    <w:p>
      <w:r>
        <w:rPr>
          <w:b/>
        </w:rPr>
        <w:t>E. 2.3</w:t>
      </w:r>
    </w:p>
    <w:p>
      <w:r>
        <w:t>Mit der wiedererwägungsweisen Aufhebung der angefochtenen Verfügung hat die Vorinstanz dem Hauptbegehren des Beschwerdeführers teilweise entsprochen. Weil der Beschwerdeführer in der Folge das neu verfügte Einreiseverbot mit Wirkung bis 4. Mai 2020 akzeptierte, ist das Beschwerdeverfahren gestützt auf Art. 58 Abs. 3 VwVG und Art. 23 Abs. 1 Bst. a VGG im einzelrichterlichen Verfahren als gegenstandslos geworden abzuschreiben.</w:t>
      </w:r>
    </w:p>
    <w:p>
      <w:r>
        <w:rPr>
          <w:b/>
        </w:rPr>
        <w:t>E. 3.1</w:t>
      </w:r>
    </w:p>
    <w:p>
      <w:r>
        <w:t>Die Verfahrenskosten werden in der Regel jener Partei auferlegt, deren Verhalten die Gegenstandslosigkeit bewirkt (Art. 5 erster Satz des Reglements vom 21. Februar 2008 über die Kosten und Entschädigungen vor dem Bundesverwaltungsgericht [VGKE, SR 173.320.2]). Ist das Verfahren ohne Zutun der Parteien gegenstandslos geworden, so werden die Kosten aufgrund der Sachlage vor Eintritt des Erledigungsgrunds festgelegt (Art. 5 zweiter Satz VGKE) dasselbe gilt für die Parteientschädigung, für deren Festsetzung Art. 5 VGKE sinngemäss gilt (Art. 15 VGKE).</w:t>
      </w:r>
    </w:p>
    <w:p>
      <w:r>
        <w:rPr>
          <w:b/>
        </w:rPr>
        <w:t>E. 3.2</w:t>
      </w:r>
    </w:p>
    <w:p>
      <w:r>
        <w:t>Hat eine Partei durch ihr Verhalten die Gegenstandslosigkeit bewirkt, und handelt es sich dabei nicht um die Vorinstanz (der keine Kosten auferlegt werden können, vgl. Art. 63 Abs. 2 VwVG), werden ihr in der Regel die Verfahrenskosten auferlegt. Massgebend ist das Verhalten, allerdings nicht als solches, vielmehr ist dieses nach materiellen Kriterien zu bestimmen. Zu fragen ist also nach dem materiellen Grund für das formelle Verhalten, und insofern ist es unerheblich, wer die (formelle) Prozesshandlung vornimmt, die zu einer Abschreibung führt. Bei einer gestützt auf Art. 58 VwVG erfolgten Wiedererwägung einer Verfügung ist die Vorinstanz dann unterliegend, wenn diese ihren Entscheid bis zur Vernehmlassung an das Bundesverwaltungsgericht aus besserer eigener Einsicht abgeändert hat (Urteil des BGer 2C_564/2013 vom 11. Februar 2014 E. 2.4).</w:t>
      </w:r>
    </w:p>
    <w:p>
      <w:r>
        <w:rPr>
          <w:b/>
        </w:rPr>
        <w:t>E. 3.3</w:t>
      </w:r>
    </w:p>
    <w:p>
      <w:r>
        <w:t>In casu hat die Vorinstanz eingesehen, dass das ursprünglich verfügte Einreisverbot von fünf Jahren zu lang war. Die Abänderung auf drei Jahre erfolgte somit aus besserer eigener Einsicht. Insofern unterliegt sie in Bezug auf das Hauptbegehren des Beschwerdeführers mit 40 Prozent. Andererseits unterliegt der Beschwerdeführer, der die abgeänderte Verfügung nachträglich akzeptierte und damit die vollständige Gegenstandslosigkeit des Beschwerdeverfahrens herbeiführte, mit 60 Prozent.</w:t>
      </w:r>
    </w:p>
    <w:p>
      <w:r>
        <w:rPr>
          <w:b/>
        </w:rPr>
        <w:t>E. 3.4</w:t>
      </w:r>
    </w:p>
    <w:p>
      <w:r>
        <w:t>Bei diesem Verfahrensausgang - der Beschwerdeführer ist lediglich mit seinem Eventualantrag durchgedrungen - wären die reduzierten Verfahrenskosten grundsätzlich ihm aufzuerlegen (vgl. Art. 63 Abs. 1 und Art. 5 VGKE). Dem Beschwerdeführer wurde mit Zwischenverfügung vom 27. September 2017 zwar die unentgeltliche Rechtspflege gewährt, jedoch nur mit Wirkung ab 14. September 2017 (Vorbereitung und Erstellung des Gesuches um unentgeltliche Rechtspflege; zum Zeitpunkt der Wirkungen einer Kostenbefreiung vgl. Martin Kayser in: Auer/Müller/Schindler, Zürich/St. Gallen 2008, Rz. 11 zu Art. 65 VwVG m.H.). Weil beim Gericht vor diesem Zeitpunkt kein erheblicher Aufwand entstanden ist, rechtfertigt es sich, auf die Auferlegung von Verfahrenskosten vollständig zu verzichten (vgl. Art. 6 Bst. a VGKE).</w:t>
      </w:r>
    </w:p>
    <w:p>
      <w:r>
        <w:rPr>
          <w:b/>
        </w:rPr>
        <w:t>E. 3.5</w:t>
      </w:r>
    </w:p>
    <w:p>
      <w:r>
        <w:t>Im Rahmen seines teilweisen Obsiegens ist dem Beschwerdeführer gemäss Art. 64 Abs. 1 VwVG i.V.m. Art. 7 ff. VGKE eine gekürzte Parteientschädigung zuzusprechen. Der Parteivertreter stellte in der am 8. November 2017 eingereichten Honorarnote eine Entschädigung von Fr. 2'363.05 in Rechnung (7 ½ Stunden à Fr. 280.-, Auslagen von Fr. 88.- und Mehrwertsteurer von Fr. 175.05). Weil der Wohnsitz des Beschwerdeführers als Empfänger der anwaltschaftlichen Dienstleistung im Ausland liegt, ist keine Mehrwertsteuer bzw. kein Zuschlag für die Mehrwertsteuer auszurichten (Art. 1 Abs. 2 i.V.m. Art. 8 Abs. 1 und 18 Abs. 1 MWSTG [SR 641.20] sowie Art. 9 Abs. 1 Bst. c VGKE; vgl. auch Urteil des BVGer F-3638/2016 vom 20. Dezember 2016 E. 8). Dem Beschwerdeführer ist somit eine Parteientschädigung von Fr. 875.20 zuzusprechen (40 Prozent von Fr. 2'188.-).</w:t>
      </w:r>
    </w:p>
    <w:p>
      <w:r>
        <w:rPr>
          <w:b/>
        </w:rPr>
        <w:t>E. 3.6</w:t>
      </w:r>
    </w:p>
    <w:p>
      <w:r>
        <w:t>Für den übrigen Aufwand ist der als amtlicher Anwalt bestellte Parteivertreter entsprechend zu entschädigen, allerdings nur für den Aufwand ab 14. September 2017 (vgl. E. 3.4 vorstehend). Gemäss Honorarnote beträgt der massgebliche zeitliche Aufwand 2.25 Stunden. Das ergibt ein Honorar von Fr. 630.- bzw. Fr. 378.- (60 Prozent). Analog sind die Auslagen zu berechnen. Ab dem 14. September dürften diese etwa einen Drittel ausmachen (Fr. 30.- bzw. 18.- [60 Prozent]). Hinzu kommt hier die Mehrwertsteuer von 8 Prozent. Dem unentgeltlichen Rechtsbeistand des Beschwerdeführers ist demnach aus der Gerichtskasse ein amtliches Honorar von Fr. 427.70 auszurichten (Honorar von Fr. 378.-, Auslagen von Fr. 18.- und Mehrwertsteuer von Fr. 31.70). Der Beschwerdeführe hat das amtliche Honorar dem Bundesverwaltungsreicht zurückzuerstatten, sollte er später zu hinreichenden Mitteln gelangen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