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F-3521/2022 vom 9. August 2024</w:t>
      </w:r>
    </w:p>
    <w:p>
      <w:r>
        <w:t>Bundesverwaltungsgericht, 2024-08-09, FR</w:t>
      </w:r>
    </w:p>
    <w:p>
      <w:r>
        <w:rPr>
          <w:b/>
        </w:rPr>
        <w:t xml:space="preserve">Quelle: </w:t>
      </w:r>
      <w:r>
        <w:t>https://mcp.opencaselaw.ch/entscheid/bvger_F-3521_2022</w:t>
      </w:r>
    </w:p>
    <w:p>
      <w:r>
        <w:t>FR: TAF F-3521/2022 du 9 août 2024</w:t>
      </w:r>
    </w:p>
    <w:p>
      <w:r>
        <w:t>IT: TAF F-3521/2022 del 9 agosto 2024</w:t>
      </w:r>
    </w:p>
    <w:p>
      <w:pPr>
        <w:pStyle w:val="Heading2"/>
      </w:pPr>
      <w:r>
        <w:t>Regeste</w:t>
      </w:r>
    </w:p>
    <w:p>
      <w:r>
        <w:t>Approbation d'une autorisation de séjour (divers)</w:t>
      </w:r>
    </w:p>
    <w:p>
      <w:pPr>
        <w:pStyle w:val="Heading2"/>
      </w:pPr>
      <w:r>
        <w:t>Erwägungen</w:t>
      </w:r>
    </w:p>
    <w:p>
      <w:r>
        <w:rPr>
          <w:b/>
        </w:rPr>
        <w:t>E. 9.1</w:t>
      </w:r>
    </w:p>
    <w:p>
      <w:r>
        <w:t>Dans la mesure où la décision querellée apparaît conforme au droit (cf. art. 49 PA), le recours doit être rejeté.</w:t>
      </w:r>
    </w:p>
    <w:p>
      <w:r>
        <w:rPr>
          <w:b/>
        </w:rPr>
        <w:t>E. 9.2</w:t>
      </w:r>
    </w:p>
    <w:p>
      <w:r>
        <w:t>Vu l'issue de la cause, les frais de la procédure doivent être mis à la charge de la recourante (cf. art. 63 al. 1 1ère phrase PA, en relation avec les art. 1 ss FITAF [RS 173.320.2]).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