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F-3518/2017 vom 12. April 2019</w:t>
      </w:r>
    </w:p>
    <w:p>
      <w:r>
        <w:t>Bundesverwaltungsgericht, 2019-04-12, FR</w:t>
      </w:r>
    </w:p>
    <w:p>
      <w:r>
        <w:rPr>
          <w:b/>
        </w:rPr>
        <w:t xml:space="preserve">Quelle: </w:t>
      </w:r>
      <w:r>
        <w:t>https://mcp.opencaselaw.ch/entscheid/bvger_F-3518_2017</w:t>
      </w:r>
    </w:p>
    <w:p>
      <w:r>
        <w:t>FR: TAF F-3518/2017 du 12 avril 2019</w:t>
      </w:r>
    </w:p>
    <w:p>
      <w:r>
        <w:t>IT: TAF F-3518/2017 del 12 aprile 2019</w:t>
      </w:r>
    </w:p>
    <w:p>
      <w:pPr>
        <w:pStyle w:val="Heading2"/>
      </w:pPr>
      <w:r>
        <w:t>Regeste</w:t>
      </w:r>
    </w:p>
    <w:p>
      <w:r>
        <w:t>Octroi anticipé d'une autorisation d'établissement</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anticipé d'une autorisation d'établissement prononcées par le SEM (art. 33 let. d LTAF) sont susceptibles de recours au Tribunal, qui statue définitivement (art. 1 al. 2 LTAF en relation avec l'art. 83 let. c ch. 2 de la loi du 17 juin 2005 sur le Tribunal fédéral [LTF, RS 173.110]). A moins que la LTAF n'en dispose autrement, la procédure devant le Tribunal est régie par la PA (art. 37 LTAF). A._______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1C_214/2015 du 6 novembre 2015 consid. 2.2.2). Aussi peut-elle admettre ou rejeter le pourvoi pour d'autres motifs que ceux invoqués. Dans son arrêt, elle prend en considération l'état de fait existant au moment où elle statue (ATAF 2014/1 consid. 2).</w:t>
      </w:r>
    </w:p>
    <w:p>
      <w:r>
        <w:rPr>
          <w:b/>
        </w:rPr>
        <w:t>E. 3</w:t>
      </w:r>
    </w:p>
    <w:p>
      <w:r>
        <w:t>Le 1er janvier 2019, la loi du 16 décembre 2005 sur les étrangers (LEtr)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3.1</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ATF 139 II 243 consid. 11.1 ; voir également Tanquerel, Manuel de droit administratif, 2e éd. 2018, n°410 s. p. 140 s., Moor, Flückiger et Martenet, Droit administratif, Vol. 1, 2012, p. 187, Tschannen, Zimmerli et Müller, Allgemeines Verwaltungsrecht, 4e éd. 2014, n° 20 p. 202 et Dubey et Zufferey, Droit administratif général, 2014, n° 366 p. 132).</w:t>
      </w:r>
    </w:p>
    <w:p>
      <w:r>
        <w:rPr>
          <w:b/>
        </w:rPr>
        <w:t>E. 3.2</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 voir également Tanquerel, op. cit., n° 412 s. p. 141 s., Moor, Flückiger et Martenet, op. cit., n° 2.4.2.4, Häfelin, Müller und Uhlmann , Allgemeines Verwaltungsrecht, 7e éd., 2016, n° 294 p. 69, Dubey et Zufferey, op. cit., n° 367 p. 132 et Tschannen, Zimmerli et 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 et Zufferey, Droit administratif général, 2014, n° 366 s. p. 132 et Moor, Flückiger et Martenet, op. cit., n° 2.4.2.4 p. 194).</w:t>
      </w:r>
    </w:p>
    <w:p>
      <w:r>
        <w:rPr>
          <w:b/>
        </w:rPr>
        <w:t>E. 3.3</w:t>
      </w:r>
    </w:p>
    <w:p>
      <w:r>
        <w:t>En l'occurrence, l'autorité inférieure a rendu sa décision sous l'empire du droit en vigueur avant le 1er janvier 2019. Partant, comme autorité de recours, le Tribunal ne saurait en principe appliquer le nouveau droit qu'en présence d'un intérêt public prépondérant susceptible de justifier une application immédiate des nouvelles dispositions. L'art. 34 al. 4 LEI a subi une modification matérielle de son contenu au 1er janvier 2019. Dans sa nouvelle teneur, cette disposition met un accent supplémentaire sur l'apprentissage de la langue, considéré comme un élément central de l'intégration, en exigeant que l'étranger soit apte à « bien » communiquer dans la langue nationale parlée au lieu de domicile (Message relatif à la modification de la loi sur les étrangers (Intégration) du 8 mars 2013, FF 2013 2151), le niveau de langue requis à l'oral ayant été fixé au niveau B1 du Cadre de référence pour les langues publié par le Conseil de l'Europe (art. 62 al. 1bis de l'OASA dans sa nouvelle teneur). Cela étant, dans la mesure où les modifications apportées à la loi fédérale et à l'OASA n'ont pas d'influence sur le sort de la présente cause (cf. infra consid. 9), il n'y pas d'intérêt public prépondérant à l'application immédiate du nouveau droit. Le Tribunal appliquera donc la loi fédérale et l'OASA dans leur teneur et dénomination en vigueur avant le 1er janvier 2019.</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SPOP a soumis sa décision à l'approbation du SEM en conformité avec la législation (art. 85 al. 1 et 2 OASA en relation avec l'art. 3 let. d de l'ordonnance du DFJP du 13 août 2015 relative aux autorisations soumises à la procédure d'approbation et aux décisions préalables dans le domaine du droit des étrangers [RS 142.201.1]). Il s'ensuit que les autorités fédérale ne sont pas liées par la décision de l'autorité cantonale compétente de délivrer au recourant une autorisation d'établissement fondée sur l'art. 34 al. 4 LEtr.</w:t>
      </w:r>
    </w:p>
    <w:p>
      <w:r>
        <w:rPr>
          <w:b/>
        </w:rPr>
        <w:t>E. 5</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conditions (art. 34 al. 1 LEtr). L'étranger n'a en principe pas un droit à la délivrance d'une autorisation de séjour ou d'établissement, à moins qu'il ne puisse se prévaloir d'une disposition particulière du droit fédéral ou d'un traité accordant un tel droit (ATF 135 II 1 consid. 1.1, 131 II 339 consid. 1, et la jurisprudence citée). Plus spécialement, en vertu de l'art. 34 LEtr, qui est une disposition de nature potestative, l'étranger n'a pas de droit à l'octroi d'une autorisation d'établissement, contrairement à ce que prévoyait initialement le projet de loi (Message du Conseil fédéral concernant la loi sur les étrangers du 8 mars 2002, FF 2002 3469 ss, ch. 1.3.6.3 ad art. 33 du projet de loi ; Minh Son Nguyen, in : Amarelle/Nguyen [éd.], Code annoté de droit des migrations, vol. II : Loi sur les étrangers [LEtr], Berne 2017, ad art. 34 LEtr, p. 325). Peuvent en revanche se prévaloir d'un droit à l'octroi d'une autorisation d'établissement, à certaines conditions, les conjoints ou enfants étrangers de moins de douze ans de citoyens helvétiques ou de titulaires d'une autorisation d'établissement (art. 42 al. 3 et 4 et art. 43 al. 2 et 3 LEtr), ainsi que les ressortissants de pays ayant conclu un traité d'établissement avec la Suisse (Minh Son Nguyen, op. cit., ad art. 34 LEtr p. 325 et p. 327 s. ; Marc Spescha, in: Spescha/Thür/Zünd/Bolzli/Hruschka [éd.], Kommentar zum Migrationsrecht, Zurich 2015, ad art. 34 LEtr, p. 133 ; Hunziker/König, in: Caroni/Gächter/Thurnheer [éd.], Handkommentar zum Bundesgesetz über die Ausländerinnen und Ausländer, Berne 2010, ad art. 34 LEtr, p. 281 ss). En l'espèce, le recourant ne peut se prévaloir d'aucune disposition légale et, en tant que ressortissant du Maroc, d'aucun traité international, qui lui conférerait un droit à l'octroi d'une autorisation d'établissement.</w:t>
      </w:r>
    </w:p>
    <w:p>
      <w:r>
        <w:rPr>
          <w:b/>
        </w:rPr>
        <w:t>E. 6</w:t>
      </w:r>
    </w:p>
    <w:p>
      <w:r>
        <w:t>En vertu de l'art. 34 al. 2 LEtr, l'autorité compétente peut octroyer une autorisation d'établissement à un étranger, pour autant qu'il ait séjourné en Suisse au moins dix ans au titre d'une autorisation de courte durée ou de séjour, dont les cinq dernières années de manière ininterrompue au bénéfice d'une autorisation de séjour et qu'il n'existe aucun motif de révocation au sens de l'art. 62 LEtr. Avant d'octroyer une autorisation d'établissement, il convient d'examiner quel a été le comportement du requérant jusqu'ici et de vérifier si son degré d'intégration est suffisant (art. 60 OASA). L'art. 34 al. 4 LEtr prévoit, quant à lui, qu'une autorisation d'établissement peut être accordée au terme d'un séjour ininterrompu de cinq ans au titre d'une autorisation de séjour lorsque l'étranger s'est bien intégré en Suisse, en particulier lorsqu'il a de bonnes connaissances d'une langue nationale. Cette possibilité d'octroyer une autorisation d'établissement déjà après cinq ans aux étrangers qui se sont intégrés avec succès est susceptible d'encourager les étrangers dans leurs efforts d'intégration (Message du Conseil fédéral du 8 mars 2002 concernant la loi sur les étrangers, FF 2002 3469 ch. 1.3.6.3). Selon l'art. 54 al. 2 LEtr, les autorités compétentes tiennent compte du degré d'intégration lors de l'octroi anticipé d'une autorisation d'établissement au sens de l'art. 34 al. 4 LEtr</w:t>
      </w:r>
    </w:p>
    <w:p>
      <w:r>
        <w:rPr>
          <w:b/>
        </w:rPr>
        <w:t>E. 7</w:t>
      </w:r>
    </w:p>
    <w:p>
      <w:r>
        <w:t>En l'occurrence, il doit être admis, compte tenu des pièces versées aux différents dossiers de la cause et ainsi qu'il ressort de la décision entreprise, que le recourant remplit manifestement la condition liée à la durée de son séjour en Suisse au bénéfice d'une autorisation de séjour. Il apparaît donc que seule reste ouverte la question de savoir si l'intégration de l'intéressé a atteint un degré suffisant pour justifier l'octroi anticipé d'une autorisation d'établissement.</w:t>
      </w:r>
    </w:p>
    <w:p>
      <w:r>
        <w:rPr>
          <w:b/>
        </w:rPr>
        <w:t>E. 8</w:t>
      </w:r>
    </w:p>
    <w:p>
      <w:r>
        <w:t>Les conditions d'intégration réussie au sens de l'art. 34 al. 4 LEtr sont exposées - de manière non exhaustive - à l'art. 62 al. 1 let. a à c OASA dans sa teneur en vigueur jusqu'au 31 décembre 2018 (RO 2007 5497). Selon cette disposition, l'autorisation d'établissement peut être octroyée notamment lorsque l'étranger : respecte l'ordre juridique suisse et les valeurs de la Constitution fédérale (let. a), dispose de connaissances de la langue nationale parlée au lieu de domicile équivalant au moins au niveau de référence A2 du Cadre européen commun de référence pour les langues publié par le Conseil de l'Europe, les connaissances d'une autre langue nationale pouvant également être prises en compte dans des cas dûment motivés (let. b) et manifeste sa volonté de participer à la vie économique et de se former (let. c). La notion d'intégration réussie qui figure dans le titre et dans le texte de l'art. 62 al. 1 OASA, comme dans la version allemande de l'art. 34 al. 4 LEtr (erfolgreiche Integration), apparaît également à l'art. 50 al. 1 let. a LEtr. Pour des raisons de cohérence interne à la loi, il se justifie de considérer que la notion d'intégration réussie de cette dernière disposition - en relation avec l'art. 77 al. 4 OASA - recouvre globalement les mêmes aspects que ceux évoqués aux art. 34 al. 4 LEtr et 62 OASA (arrêt du TAF F-4152/2016 du 27 juin 2018 consid. 4.5). Conformément à la jurisprudence du Tribunal fédéral relative à l'art. 50 al. 1 let. a LEtr, la notion d'intégration réussie doit être examinée à l'aune d'une appréciation globale des circonstances, les autorités compétentes disposant d'un large pouvoir d'appréciation dans l'application des critères d'intégration (arrêt du Tribunal fédéral 2C_455/2018 du 9 septembre 2018 consid. 4.1 et les références citées). Toutefois, comme les droits conférés par une autorisation d'établissement sont plus étendus que ceux conférés, notamment, par une autorisation de séjour fondée sur l'art. 50 LEtr, il se justifie que les exigences liées au niveau d'intégration pour l'octroi anticipé d'une autorisation d'établissement soient plus élevées (arrêts du TAF F-1335/2018 du 4 octobre 2018 consid. 4.3 et F-4152/2016 précité ibid. ; HUNZIKER/KÖNIG, in : Caroni/Gächter/Thurnherr (éd.), Handkommentar zum Bundesgesetz über die Ausländerinnen und Äusländer, Berne 2010, n° 44 ad art. 34, p. 290).</w:t>
      </w:r>
    </w:p>
    <w:p>
      <w:r>
        <w:rPr>
          <w:b/>
        </w:rPr>
        <w:t>E. 9</w:t>
      </w:r>
    </w:p>
    <w:p>
      <w:r>
        <w:t>Comme exposé ci-dessus, l'intégration telle qu'elle est conçue dans le domaine du droit des étrangers vise trois thèmes principaux : le respect de l'ordre juridique et des valeurs fondamentales, les connaissances linguistiques ainsi que l'intégration économique.</w:t>
      </w:r>
    </w:p>
    <w:p>
      <w:r>
        <w:rPr>
          <w:b/>
        </w:rPr>
        <w:t>E. 9.1</w:t>
      </w:r>
    </w:p>
    <w:p>
      <w:r>
        <w:t>En l'espèce, il sied de constater en premier lieu que le recourant satisfait pleinement aux exigences de l'art. 62 al. 1 let. a et b OASA, ce qui n'est par ailleurs pas contesté par l'autorité intimée.</w:t>
      </w:r>
    </w:p>
    <w:p>
      <w:r>
        <w:rPr>
          <w:b/>
        </w:rPr>
        <w:t>E. 9.1.1</w:t>
      </w:r>
    </w:p>
    <w:p>
      <w:r>
        <w:t>En effet, d'une part, son casier judiciaire est vierge. D'autre part, les autorités helvétiques n'ont, en particulier, jamais enregistré des déclarations publiques ou d'autres comportements de sa part susceptibles de menacer l'ordre ou la sécurité publics ou de traduire une mentalité incompatible avec les valeurs fondamentales de la Constitution fédérale.</w:t>
      </w:r>
    </w:p>
    <w:p>
      <w:r>
        <w:rPr>
          <w:b/>
        </w:rPr>
        <w:t>E. 9.1.2</w:t>
      </w:r>
    </w:p>
    <w:p>
      <w:r>
        <w:t>De plus, le Tribunal constate que les pièces versées au dossier par l'intéressé démontrent que ses capacités linguistiques atteignent le niveau exigé par l'art. 62 al. 1 let. b OASA, à savoir le niveau B1 à l'oral et le niveau A2 à l'écrit.</w:t>
      </w:r>
    </w:p>
    <w:p>
      <w:r>
        <w:rPr>
          <w:b/>
        </w:rPr>
        <w:t>E. 9.2</w:t>
      </w:r>
    </w:p>
    <w:p>
      <w:r>
        <w:t>En ce qui concerne l'intégration économique du recourant, le Tribunal relève qu'il est au bénéfice d'un contrat de travail à durée indéterminée en tant qu'ouvrier de collecte et de tri auprès de la Ville de Lausanne depuis le 1er octobre 2014 et que, dans ce cadre, il touche un salaire annuel net de l'ordre de 60'000 francs, ce qui paraît largement suffisant pour garantir une vie indépendante et autonome. Par ailleurs, le recourant ne fait pas l'objet de poursuites, ni d'actes de défaut de biens. Il ne fait dès lors aucun doute que l'intéressé jouit actuellement d'une intégration économique et professionnelle réussie et qu'il a démontré à satisfaction sa volonté de participer à la vie économique du pays. Dans la décision entreprise, le SEM a toutefois retenu que cette intégration n'est pas suffisamment réussie dans la mesure où A._______ a bénéficié d'une forme d'assistance publique pendant une longue période et pour un montant total de l'ordre de 110'000 francs. Certes, depuis avril 2011, immédiatement après la régularisation de ses conditions de séjour au mois de mars 2011, et jusqu'à la séparation de leur couple au mois d'avril 2014, le recourant et son épouse ont bénéficié conjointement de prestations sociales pécuniaires. A ce stade, il convient de prendre en considération le fait que l'intéressé n'était pas seul responsable de cet état de fait étant donné que le soutien financier a été accordé au couple qu'il formait avec son épouse et non à lui seul. Par ailleurs, dans ce cadre, on ne saurait ignorer que B._______ était sans emploi au moment du mariage, qu'elle bénéficiait du même revenu d'insertion au mois de juillet 2017 lors du prononcé du divorce et qu'elle n'a pas exercé d'activité salarié pendant la durée du mariage, ainsi qu'il est précisé dans le jugement de divorce. A l'opposé, dans la suite quasi-immédiate de la séparation du couple au mois d'avril 2014, A._______ a pris les mesures nécessaires pour assurer son autonomie et son indépendance financière en trouvant un emploi dès le 1er octobre 2014, emploi qu'il a conservé à ce jour. A ce propos, il convient encore de mentionner que c'est à la suite d'un stage de onze mois, débuté en novembre 2013 auprès de la Ville de Lausanne, que l'intéressé a été mis au bénéfice d'un contrat de travail et qu'il n'est donc pas resté totalement oisif pendant la période où il a bénéficié du revenu d'insertion. Depuis le mois d'octobre 2014, soit depuis environ quatre ans et demi, A._______ n'émarge plus à l'assistance sociale. Certes, le recours d'une personne étrangère à l'aide sociale peut constituer un indice traduisant un manque de participation à la vie économique au sens de l'art. 62 al. 1 let. c OASA (arrêt du Tribunal fédéral 2C_546/2010 du 30 novembre 2010 consid. 5.2), mais il faut admettre, en l'espèce, que l'intéressé a su renverser le cours des choses (cf. en ce sens arrêt du Tribunal fédéral 2C_426/2011 du 30 novembre 2011 consid. 3.4 et arrêt du TAF C-3160/2012 du 12 juin 2014 consid. 8.2.2). En considération de l'ensemble des éléments du dossier, tout porte à croire qu'à l'avenir, il pourra continuer à exercer une activité lucrative régulière susceptible d'assurer son indépendance financière. Force est dès lors d'admettre qu'à l'heure actuelle, l'intégration économique et professionnelle de l'intéressé doit être admise.</w:t>
      </w:r>
    </w:p>
    <w:p>
      <w:r>
        <w:rPr>
          <w:b/>
        </w:rPr>
        <w:t>E. 10</w:t>
      </w:r>
    </w:p>
    <w:p>
      <w:r>
        <w:t>Au vu de ce qui précède, il convient d'admettre le recours et d'annuler la décision du SEM du 18 mai 2017, l'octroi anticipé d'une autorisation d'établissement en faveur du recourant, conformément à la proposition des autorités vaudoises compétentes, étant approuvé.</w:t>
      </w:r>
    </w:p>
    <w:p>
      <w:r>
        <w:rPr>
          <w:b/>
        </w:rPr>
        <w:t>E. 11</w:t>
      </w:r>
    </w:p>
    <w:p>
      <w:r>
        <w:t>Obtenant gain de cause, le recourant n'a pas à supporter de frais de procédure (cf. art. 63 al. 1 a contrario et al. 3 PA). Bien qu'elle succombe, l'autorité inférieure n'a pas non plus à supporter de frais de procédure (art. 63 al. 2 PA). Vu l'issue de la procédure, le recourant a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mandataire, le Tribunal estime, au regard des art. 8 ss FITAF, que le versement d'un montant de 1'200 francs au recourant à titre de dépens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