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F-3516/2017 vom 16. August 2018</w:t>
      </w:r>
    </w:p>
    <w:p>
      <w:r>
        <w:t>Bundesverwaltungsgericht, 2018-08-16, DE</w:t>
      </w:r>
    </w:p>
    <w:p>
      <w:r>
        <w:rPr>
          <w:b/>
        </w:rPr>
        <w:t xml:space="preserve">Quelle: </w:t>
      </w:r>
      <w:r>
        <w:t>https://mcp.opencaselaw.ch/entscheid/bvger_F-3516_2017</w:t>
      </w:r>
    </w:p>
    <w:p>
      <w:r>
        <w:t>FR: TAF F-3516/2017 du 16 août 2018</w:t>
      </w:r>
    </w:p>
    <w:p>
      <w:r>
        <w:t>IT: TAF F-3516/2017 del 16 agosto 2018</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(Art. 37 VGG).</w:t>
      </w:r>
    </w:p>
    <w:p>
      <w:r>
        <w:rPr>
          <w:b/>
        </w:rPr>
        <w:t>E. 1.2</w:t>
      </w:r>
    </w:p>
    <w:p>
      <w:r>
        <w:t>Die Beschwerdeführerin ist als Verfügungsadressatin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Beschwerdeführerin ist Deutsche und damit Staatsangehörige einer Vertragspartei des FZA.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C-4052/2015 vom 10. Februar 2016 E. 4.2 m.H.).</w:t>
      </w:r>
    </w:p>
    <w:p>
      <w:r>
        <w:rPr>
          <w:b/>
        </w:rPr>
        <w:t>E. 4.3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w:t>
      </w:r>
    </w:p>
    <w:p>
      <w:r>
        <w:t>Aufgrund der Akten ist erstellt, dass die Beschwerdeführerin in der Schweiz wiederholt zu strafrechtlichen Klagen Anlass gab, wobei sie insbesondere ihren finanziellen Verpflichtungen nicht nachgekommen ist (vgl. SZ-act. 11 S. 747 -759; SEM-act. 5 S. 55). Besonders schwer wiegt jedoch die Verurteilung der Beschwerdeführerin vom 6. Februar 2014 durch das Kantonsgericht Luzern, welche letztlich auch zur Ausfällung des Einreiseverbotes führte (vgl. Sachverhalt Bst. B.d und Bst. E).</w:t>
      </w:r>
    </w:p>
    <w:p>
      <w:r>
        <w:rPr>
          <w:b/>
        </w:rPr>
        <w:t>E. 6.1</w:t>
      </w:r>
    </w:p>
    <w:p>
      <w:r>
        <w:t>Dass das Verhalten der Beschwerdeführerin die Verhängung einer Fernhaltemassnahme im Sinne von Art. 67 Abs. 2 Bst. a AuG zu rechtfertigen vermag, steht ausser Frage. Wie soeben erörtert, genügt dies jedoch nicht, um die Massnahme vor dem Freizügigkeitsabkommen bestehen zu lassen; vielmehr muss dargetan werden, dass von der Beschwerdeführerin auch gegenwärtig noch eine Gefährdung ausgeht, die hinreichend schwer ist und ein Grundinteresse der Gesellschaft berührt.</w:t>
      </w:r>
    </w:p>
    <w:p>
      <w:r>
        <w:rPr>
          <w:b/>
        </w:rPr>
        <w:t>E. 6.2</w:t>
      </w:r>
    </w:p>
    <w:p>
      <w:r>
        <w:t>Vermögens- und Wirtschaftsdelikte, derentwegen die Beschwerdeführerin in der Schweiz verurteilt wurde, können durchaus Anlass für freizügigkeitsbeschränkende Massnahmen bilden, wenn die Rückfallgefahr hinreichend gross ist (vgl. etwa Urteile des BVGer F-2023/2016 vom 31. Januar 2017 E. 6.4 m. H. oder BGE 134 II 25 E. 4.3.1 m.H.). Voraussetzung für eine Berücksichtigung ist überdies, dass die Straftaten unbestritten sind oder aufgrund der Akten keine Zweifel bestehen, dass sie der betreffenden Person zur Last zu legen sind (vgl. Urteil des BGer 2C_367/2009 vom 16. Dezember 2009 E. 4.2.1 in fine), was hier zweifelsohne zutrifft.</w:t>
      </w:r>
    </w:p>
    <w:p>
      <w:r>
        <w:rPr>
          <w:b/>
        </w:rPr>
        <w:t>E. 6.3</w:t>
      </w:r>
    </w:p>
    <w:p>
      <w:r>
        <w:t>Bei der Frage, ob die Beschwerdeführerin aktuell eine Gefährdung darstellt, kommt es wesentlich auf das Rückfallrisiko an.</w:t>
      </w:r>
    </w:p>
    <w:p>
      <w:r>
        <w:rPr>
          <w:b/>
        </w:rPr>
        <w:t>E. 6.4</w:t>
      </w:r>
    </w:p>
    <w:p>
      <w:r>
        <w:t>Die unbestrittene Auflistung der gegen die Beschwerdeführerin erlassenen 22 Strafbefehle bzw. Strafverfügungen in der Verfügung des Migrationsamtes vom 4. Januar 2016 (SEM-act. 5 S. 56-58) zeigt auf, dass sie bereits vor ihrer Einreise in die Schweiz in strafrechtlich relevanter Weise in Erscheinung getreten ist und sie während ihres Aufenthalts in der Schweiz regelmässig und wiederholt delinquierte. Auch wenn einzelne Delikte als geringfügig erscheinen mögen, ist deren Vielzahl sowie die Steigerung in der Schwere mehr als bedenklich und zeugt von einer inakzeptablen Geringschätzung und Gleichgültigkeit gegenüber der Schweizer Rechtsordnung. Indem sie sogar nach Eintritt der Rechtskraft des Urteils des Kantonsgerichts vom 6. Februar 2014 und nach der Eröffnung des ausländerrechtlichen Verfahrens Mühe bekundet hat, sich an die Schweizerische Rechtsordnung zu halten (vgl. Urteil des Kantonsgerichts Luzern vom 23. Februar 2017 E. 5.1 [SEM-act. 5 S. 15], hat die Beschwerdeführerin eine erhebliche kriminelle Energie an den Tag gelegt. Kommt hinzu, dass sie sämtliche Delikte als Erwachsene beging, nach wie vor hoch verschuldet ist (vgl. die unbestrittene Zusammenstellung der die Beschwerdeführerin betreffenden Betreibungsregisterauszüge in der Verfügung des Migrationsamtes vom 4. Januar 2016, Ziff. 7 [SEM-act. 5 S. 55]) und seit ihrer Einreise in die Schweiz keine Zeitspanne auszumachen ist, in der sie nicht delinquiert hat. Allfällige stabilisierende Faktoren, welche die Rückfallgefahr relativieren könnten, sind im Übrigen nicht auszumachen. Die Rückfallgefahr in Bezug auf Vermögensdelikte ist demnach weiterhin als erheblich einzustufen.</w:t>
      </w:r>
    </w:p>
    <w:p>
      <w:r>
        <w:rPr>
          <w:b/>
        </w:rPr>
        <w:t>E. 6.5</w:t>
      </w:r>
    </w:p>
    <w:p>
      <w:r>
        <w:t>In Würdigung der aufgelisteten Umstände ist dementsprechend davon auszugehen, dass von der Beschwerdeführerin auch heute noch eine aktuelle, tatsächliche und hinreichend schwere Gefahr für die öffentliche Ordnung und Sicherheit im Sinne des Gemeinschaftsrechts in seiner Auslegung durch den EuGH ausgeht. Dass die Vorinstanz gegen sie ein Einreiseverbot verhängt hat, ist somit im Lichte von Art. 5 Anhang I FZA grundsätzlich nicht zu beanstanden.</w:t>
      </w:r>
    </w:p>
    <w:p>
      <w:r>
        <w:rPr>
          <w:b/>
        </w:rPr>
        <w:t>E. 7.1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7.2</w:t>
      </w:r>
    </w:p>
    <w:p>
      <w:r>
        <w:t>Von der Beschwerdeführerin geht, wie dargetan, eine hinreichend schwere Gefahr für die öffentliche Sicherheit und Ordnung aus, weshalb ein erhebliches öffentliches Interesse an ihrer zeitweisen Fernhaltung besteht. Den öffentlichen Interessen sind die privaten Interessen des Betroffenen gegenüberzustellen. Im Vordergrund steht für die Beschwerdeführerin hierbei das Zusammenleben mit ihrem Lebenspartner und ihrer - mittlerweile erwachsenen - Tochter in der Schweiz. Damit beruft sie sich auf das in Art. 8 EMRK Ziff. 1 verankerte Recht auf Familienleben. In diesem Zusammenhang wirft sie der Vorinstanz vor, sie habe es vorliegend unterlassen, die Umstände des Einzelfalles zu prüfen.</w:t>
      </w:r>
    </w:p>
    <w:p>
      <w:r>
        <w:rPr>
          <w:b/>
        </w:rPr>
        <w:t>E. 7.3</w:t>
      </w:r>
    </w:p>
    <w:p>
      <w:r>
        <w:t>Hervorzuheben ist an dieser Stelle zunächst,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Die Beschwerdeführerin musste die Schweiz nach dem rechtskräftigen Widerruf ihrer Niederlassungsbewilligung verlassen. Im Folgenden stellt sich daher einzig die Frage, ob die über die Verweigerung des Aufenthaltsrechts hinausgehende, durch das Einreiseverbot zusätzlich bewirkte Erschwernis vor Art. 8 Ziff. 1 EMRK und Art. 13 Abs. 1 BV standhält (vgl. zum Ganzen auch BVGE 2013/4 E. 7.4.1 und 7.4.2).</w:t>
      </w:r>
    </w:p>
    <w:p>
      <w:r>
        <w:rPr>
          <w:b/>
        </w:rPr>
        <w:t>E. 7.4</w:t>
      </w:r>
    </w:p>
    <w:p>
      <w:r>
        <w:t>Der Pflege der familiären Beziehungen - soweit sie noch unter den EMRK-Schutzbereich fallen - steht auf Schweizer Boden wie eben erwähnt nicht die angefochtene Verfügung, sondern die fehlende Aufenthaltsbewilligung entgegen. Das Einreiseverbot als solches beeinträchtigt das Interesse der Beschwerdeführerin an einem von staatlichen Eingriffen ungestörten Familienleben nur soweit, als sie eine Suspension einholen muss (Art. 67 Abs. 5 AuG). Wohl wird die Suspension praxisgemäss nur für eine kurze und klar begrenzte Zeit gewährt und sie darf das Einreiseverbot nicht aushöhlen, die damit trotz der vorstehenden Relativierungen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w:t>
      </w:r>
    </w:p>
    <w:p>
      <w:r>
        <w:rPr>
          <w:b/>
        </w:rPr>
        <w:t>E. 7.5</w:t>
      </w:r>
    </w:p>
    <w:p>
      <w:r>
        <w:t>Daneben ist es den Betroffenen zuzumuten, die Kontakte untereinander mittels Telefon oder moderner Kommunikationsmittel (SMS, WhatsApp, Skype, usw.) sowie besuchsweise ausserhalb der Schweiz (und des Fürstentums Liechtenstein) zu pflegen. Das verfassungs- und konventionsrechtlich garantierte Recht auf Achtung des Familienlebens vermittelt ohnehin keinen Anspruch auf freie Wahl des für das Familienleben am geeignetsten erscheinenden Ortes (BGE 137 I 247 E. 4.1.1 m.H.). Des Weiteren wird nochmals an die Tatsache erinnert, dass die Beschwerdeführerin seinerzeit ohne Rücksicht auf das Wohl ihrer Tochter und ihres Partners delinquierte. Sie musste davon ausgehen, dass ihr Verhalten weitreichende und langfristige Konsequenzen für sich und ihrer Familie nach sich ziehen wird. Infolgedessen hat sie die - keineswegs verkannte - Erschwerung der familiären Kontakte auf Schweizer Boden gegen sich gelten zu lassen.</w:t>
      </w:r>
    </w:p>
    <w:p>
      <w:r>
        <w:rPr>
          <w:b/>
        </w:rPr>
        <w:t>E. 7.6</w:t>
      </w:r>
    </w:p>
    <w:p>
      <w:r>
        <w:t>Bei dieser Sachlage erweist sich die Rüge, die Vorinstanz habe es unterlassen, die Umstände des Einzelfalles zu prüfen, als unbegründet. Vielmehr führt eine wertende Gewichtung der sich gegenüberstehenden Interessen der Öffentlichkeit und der Beschwerdeführerin das Bundesverwaltungsgericht zum Schluss, dass das gegen die Beschwerdeführerin erlassene, auf fünf Jahre bemessene Einreiseverbot eine verhältnismässige und angemessene Massnahme zum Schutz der öffentlichen Sicherheit und Ordnung darstellt und daher zu bestätigen ist.</w:t>
      </w:r>
    </w:p>
    <w:p>
      <w:r>
        <w:rPr>
          <w:b/>
        </w:rPr>
        <w:t>E. 8</w:t>
      </w:r>
    </w:p>
    <w:p>
      <w:r>
        <w:t>Aus den vorstehenden Erwägungen ergibt sich, dass das auf 5 Jahre befristete Einreiseverbot im Lichte von Art. 49 VwVG kein Bundesrecht verletzt. Die Beschwerde ist demzufolge abzuweisen.</w:t>
      </w:r>
    </w:p>
    <w:p>
      <w:r>
        <w:rPr>
          <w:b/>
        </w:rPr>
        <w:t>E. 9</w:t>
      </w:r>
    </w:p>
    <w:p>
      <w:r>
        <w:t>Bei diesem Ausgang des Verfahrens sind die Verfahrenskosten der Beschwerdeführerin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