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F-350/2023 vom 1. Dezember 2023</w:t>
      </w:r>
    </w:p>
    <w:p>
      <w:r>
        <w:t>Bundesverwaltungsgericht, 2023-12-01, DE</w:t>
      </w:r>
    </w:p>
    <w:p>
      <w:r>
        <w:rPr>
          <w:b/>
        </w:rPr>
        <w:t xml:space="preserve">Quelle: </w:t>
      </w:r>
      <w:r>
        <w:t>https://mcp.opencaselaw.ch/entscheid/bvger_F-350_2023</w:t>
      </w:r>
    </w:p>
    <w:p>
      <w:r>
        <w:t>FR: TAF F-350/2023 du 1 décembre 2023</w:t>
      </w:r>
    </w:p>
    <w:p>
      <w:r>
        <w:t>IT: TAF F-350/2023 del 1 dicembre 2023</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des Gesuchstellers durch den angefochtenen Entscheid besonders berührt. Obwohl der ursprünglich angestrebte Besuchszeitraum inzwischen abgelaufen ist, kann auf ein fort- bestehendes Rechtsschutzinteresse geschlossen werden. Die Beschwer- deführenden sind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liegt das Gesuch eines ägyptischen Staats- angehörigen um Erteilung eines Visums zu Besuchszwecken in der Schweiz zugrunde. Da sich der Gesuchsteller nicht auf die EU/EFTA-Per- sonenfreizügigkeitsabkommen berufen kann und die beabsichtigte Aufent- haltsdauer 90 Tage nicht überschreitet, fällt die vorliegende Streitsache in</w:t>
      </w:r>
    </w:p>
    <w:p>
      <w:r>
        <w:t>F-350/2023 Seite 4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vermittelt auch das Schen- 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[nachfol- gend: Schengener Grenzkodex, SGK, ABl. L 77/1 vom 23.03.2016]; Art. 14</w:t>
      </w:r>
    </w:p>
    <w:p>
      <w:r>
        <w:t>F-350/2023 Seite 5 Abs. 1 und Art. 21 Abs. 1 der Verordnung [EG] Nr. 810/2009 des Europäi- 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4.4</w:t>
      </w:r>
    </w:p>
    <w:p>
      <w:r>
        <w:t>Sind die erwähnten Einreisevoraussetzungen nicht erfüllt, kann in Aus- nahmefällen ein Visum mit räumlich beschränkter Gültigkeit erteilt werden, das nur für das Hoheitsgebiet des betreffenden Mitgliedstaats gilt. Von die- ser Möglichkeit kann der betreffende Mitgliedstaat unter anderem Ge- brauch machen, wenn er es aus humanitären Gründen, aus solchen des nationalen Interesses oder aufgrund internationaler Verpflichtungen für er- forderlich hält (vgl. Art. 3 Abs. 4 und 5 VEV; Art. 25 Abs. 1 Bst. a Visakodex; Art. 6 Abs. 5 Bst. c SGK).</w:t>
      </w:r>
    </w:p>
    <w:p>
      <w:r>
        <w:rPr>
          <w:b/>
        </w:rPr>
        <w:t>E. 5</w:t>
      </w:r>
    </w:p>
    <w:p>
      <w:r>
        <w:t>Aufgrund seiner Staatsangehörigkeit unterliegt der Gesuchsteller der Vi- sumspflicht. Bei der Prüfung der Einreisevoraussetzungen nach Art. 6 Abs. 1 SGK ist die Frage der gesicherten Wiederausreise zentral.</w:t>
      </w:r>
    </w:p>
    <w:p>
      <w:r>
        <w:rPr>
          <w:b/>
        </w:rPr>
        <w:t>E. 6.1</w:t>
      </w:r>
    </w:p>
    <w:p>
      <w:r>
        <w:t>Die Vorinstanz zweifelt die anstandslose Wiederausreise des Gesuch- stellers an und begründet dies zum einen mit den wirtschaftlichen Verhält- nissen in seiner Heimatregion, zum anderen damit, dass ihm dort keine besonderen Verpflichtungen obliegen würden und er keine genügenden fi- nanziellen Mittel vorweisen könne. Im Hinblick auf die persönlichen Le- bensumstände des 26-jährigen, verheirateten Gesuchstellers sei lediglich bekannt, dass er zusammen mit seiner Ehefrau, seiner einjährigen Tochter</w:t>
      </w:r>
    </w:p>
    <w:p>
      <w:r>
        <w:t>F-350/2023 Seite 6 und seiner 66-jährigen Mutter lebe, die er im Alltag unterstütze. Allgemein gelte es zu bedenken, dass die Existenz naher Familienangehöriger häufig nicht daran hindert, den Entschluss zur Emigration zu fassen, weil ein sol- cher Entschluss oft mit der Hoffnung verbunden sei, nahe Angehörige aus dem Ausland besser unterstützen und später allenfalls nachziehen zu kön- nen. In Bezug auf die wirtschaftlichen Verhältnisse des Gesuchstellers lasse sich den Akten entnehmen, dass er seit April 2022 als Fahrer für eine Firma tätig sei und ein monatliches Einkommen von EGP 8’700.– erziele, was umgerechnet ca. Fr. 332.– (Stand Kurs vom 8. Dezember 2022) ent- spreche. Das erst seit wenigen Monaten bestehende Anstellungsverhältnis sowie die lange Dauer des geplanten Besuchsaufenthalts zeugten von ei- niger Ungebundenheit. Per 8. August 2022 habe der Gesuchsteller über ein Bankguthaben von rund EGP 48’636.– verfügt, umgerechnet ca. Fr. 1’858.–. Die wirtschaftlichen und beruflichen Verhältnisse des Gesuch- stellers böten demnach keine genügende Gewähr für eine anstandslose Wiederausreise.</w:t>
      </w:r>
    </w:p>
    <w:p>
      <w:r>
        <w:rPr>
          <w:b/>
        </w:rPr>
        <w:t>E. 6.2</w:t>
      </w:r>
    </w:p>
    <w:p>
      <w:r>
        <w:t>Demgegenüber machen die Beschwerdeführenden geltend, sie hätten sich, zumal der Beschwerdeführer 1 nun schon seit über zehn Jahren in der Schweiz lebe, entschlossen, dessen jüngsten Bruder einzuladen und ihm ihr Leben zu zeigen. Sie hätten hinreichend nachgewiesen – was auch von ihrer Wohngemeinde bestätigt worden sei –, dass sie für alle anfallen- den Kosten aufkommen und eine Garantiesumme von Fr. 30'000.– über- nehmen könnten. Die Einschätzung der Vorinstanz, wonach junge Men- schen aus Ägypten grundsätzlich eine Emigration anstrebten, sei verallge- meinernd und treffe im vorliegenden Fall nicht zu. Schliesslich habe trotz der Wirtschaftslage kein Familienmitglied das Land verlassen. Die Familie arbeite viel, bestreite selbstständig ihren Lebensunterhalt und erhalte keine finanzielle Unterstützung von ihnen (den Beschwerdeführenden). Ausser- dem sei die «3-Monate Frist eines Visums gesetzlich vorgegeben», wobei der Gesuchsteller lediglich einen zwei- bis vierwöchigen Besuchsaufent- halt in diesem Zeitraum beabsichtige. Dies sei mit seinem Vorgesetzten vereinbart worden und ändere nichts an seinem Anstellungsverhältnis. Fer- ner sei sich der Beschwerdeführer 1 als (…) vollumfänglich bewusst, dass der Gesuchsteller keine Chance auf einen Aufenthalt in der Schweiz habe. Ein illegaler Aufenthalt im Schengen-Raum stelle für den Gesuchsteller denn auch keine Option dar, zumal er dadurch seine aktuelle persönliche und finanzielle Situation verschlechtern würde und weit weg von seiner Fa- milie und Tochter wäre.</w:t>
      </w:r>
    </w:p>
    <w:p>
      <w:r>
        <w:t>F-350/2023 Seite 7 Der Gesuchsteller sei Miteigentümer des Elternhauses und besitze darin eine grosse Eigentumswohnung, welche er zusammen mit seiner Familie bewohne. Im Gebäude befänden sich überdies drei Geschäftslokale, deren Vermietung ein zusätzliches Einkommen generiere. Weiter besitze der Ge- suchsteller ein Grundstück, wo die Tiere der Familie untergebracht seien. Die Vorinstanz habe ferner nur das Geldvermögen, aber nicht das Gold- vermögen berücksichtigt. In der koptischen Kultur werde nämlich zu Beginn der Ehe ein Goldvermögen in Form von Schmuck angeschafft, im Falle des Gesuchstellers belaufe sich dessen Wert auf EGP 850’000.–. Ferner be- treibe der Gesuchsteller gemeinsam mit seinen Brüdern nebenberuflich ein kleines Bauunternehmen. Der Gesuchsteller sei mit seiner Heimat verbun- den und versuche auf kreative Weise, seine Familie einigermassen gut durch die Wirtschaftskrise zu bringen. Die Vorinstanz missachte mit ihrem Entscheid den menschlichen Aspekt, zumal der Gesuchsteller seine Auf- gabe als Sohn und Familienvater sehr ernst nehme und kein Interesse da- ran habe, seine Familie für ein hohes Einkommen zu verlassen.</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beziehungsweise Regionen mit poli- tisch, wirtschaftlich und sozial ungünstigen Verhältnissen rechtfertigt sich eine strenge Praxis, da die persönliche Interessenlage in solchen Fällen erfahrungsgemäss häufig nicht mit dem Ziel und Zweck einer zeitlich be- fristeten Einreisebewilligung im Einklang steht (BVGE 2014/1 E. 6.1).</w:t>
      </w:r>
    </w:p>
    <w:p>
      <w:r>
        <w:rPr>
          <w:b/>
        </w:rPr>
        <w:t>E. 7.2</w:t>
      </w:r>
    </w:p>
    <w:p>
      <w:r>
        <w:t>Mit seinen rund 110 Millionen Einwohnerinnen und Einwohnern, darun- ter 6 Millionen Flüchtlinge, stellt Ägypten das bevölkerungsreichste arabi- sche Land dar. Obschon Ägypten den pandemiebedingten Einbruch der globalen Wirtschaft verhältnismässig gut überstanden hat, befindet sich die ägyptische Wirtschaft zurzeit in Folge politischer Fehlentscheide und der negativen Auswirkungen des russischen Angriffskriegs in der Ukraine in ei- ner schweren Krise (vgl. &lt; https://www.seco.admin.ch &gt; Aussenwirtschaft</w:t>
      </w:r>
    </w:p>
    <w:p>
      <w:r>
        <w:t>F-350/2023 Seite 8 &amp; Wirtschaftliche Zusammenarbeit &gt; Wirtschaftsbeziehungen &gt; Länderin- formationen &gt; Afrika &gt; Ägypten &gt; Wirtschaftsbericht 2022, abgerufen am 10.08.2023). Die Bevölkerung leidet unter der massiven Preissteigerung bei Lebensmitteln und Gütern des alltäglichen Bedarfs. Auch ist die Infla- tion stark angestiegen und das ägyptische Pfund hat im Vergleich zum Vor- jahr über die Hälfte seines Werts verloren. Ferner haben die Fremdwäh- rungsreserven der ägyptischen Zentralbank einen neuen Tiefststand er- reicht. Vor diesem Hintergrund hat die Regierung Ende letzten Jahres mit dem Internationalen Währungsfonds (IMF) einen (weiteren) Milliardenkre- dit zur Bewältigung der Wirtschaftskrise und Bekämpfung der Inflation aus- handeln können. Im ganzen Land besteht trotz erhöhter Sicherheitsmassnahmen und einer sichtbaren politischen Stabilisierung jederzeit das Risiko von Terroran- schlägen (&lt; https://www.eda.admin.ch &gt; Reisehinweise &amp; Vertretungen &gt; Reisehinweise für Ägypten, abgerufen am 17.11.2023). Auf dem aktuellen Index der menschlichen Entwicklung, der durch das Entwicklungspro- gramm der Vereinten Nationen im Sinne eines Wohlstandsindikators er- stellt wird, belegt Ägypten Platz 97 von 191 gelisteten Staaten (vgl. &lt; https://hdr.undp.org &gt; Data Center ˃ Country Insights &gt; Egypt, abgerufen am 17.11.2023).</w:t>
      </w:r>
    </w:p>
    <w:p>
      <w:r>
        <w:rPr>
          <w:b/>
        </w:rPr>
        <w:t>E. 7.3</w:t>
      </w:r>
    </w:p>
    <w:p>
      <w:r>
        <w:t>Vor diesem Hintergrund ist nicht zu beanstanden, dass die Vorinstanz das Risiko einer nicht fristgerechten Wiederausreise von Besucherinnen und Besuchern aus Ägypten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t>F-350/2023 Seite 9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8.2.1</w:t>
      </w:r>
    </w:p>
    <w:p>
      <w:r>
        <w:t>Beim Gesuchsteller handelt es sich den Akten zufolge um den jüngs- ten Bruder des Beschwerdeführers 1. Er lebt zusammen mit seiner Ehe- frau, seiner einjährigen Tochter und seiner Mutter in einer Eigentumswoh- nung in Ägypten. Der Gesuchsteller verfügt somit über familiäre Verpflich- tungen, die er gemäss eigenen Angaben sehr ernst nimmt. Das Zurücklas- sen minderjähriger Kinder – sowie der Ehefrau – bildet für sich allein noch keine Garantie für eine anstandslose und fristgerechte Wiederausreise nach einem Besuchsaufenthalt. Die Erfahrung zeigt, dass es in der Regel vielmehr die individuell herrschenden wirtschaftlichen und sozialen Verhält- nisse sind, die letztlich über Rückkehr oder Verbleib im Ausland entschei- den. Dass eine Familie vorübergehend getrennt wird, wird je nach Interes- senlage in Kauf genommen. Dies umso eher, wenn die Betreuung des Kin- des durch nahe Angehörige (in casu die Ehefrau und Kindsmutter) sicher- gestellt werden kann und die Möglichkeit besteht, das Kind sowie die Ehe- frau später nachziehen zu können (vgl. Urteile des BVGer F-2363/2022 vom 22. August 2022 E. 6.5 und F-3809/2019 vom 19. Februar 2021 E. 6.1). Dass dem Gesuchsteller jedoch besondere beziehungsweise über das übliche Mass hinausgehende gesellschaftliche oder familiäre Ver- pflichtungen obliegen würden, ist nicht ersichtlich. Zu berücksichtigen ist ferner, dass der Gesuchsteller in der Schweiz durch seinen hier lebenden Bruder und dessen Familie ein vorbestehendes familiäres Beziehungsnetz besitzt, was das Emigrationsrisiko erhöht.</w:t>
      </w:r>
    </w:p>
    <w:p>
      <w:r>
        <w:rPr>
          <w:b/>
        </w:rPr>
        <w:t>E. 8.2.2</w:t>
      </w:r>
    </w:p>
    <w:p>
      <w:r>
        <w:t>Insbesondere sind seine familiären Verpflichtungen – wie die Vor- instanz treffend festhält – auch mit Blick auf die lange Dauer des geplanten Aufenthalts zu relativieren. Es ist in Bezug auf den Einwand der Beschwer- deführenden, wonach die «3-Monate-Frist eines Visums» gesetzlich vor- gegeben sei, darauf hinzuweisen, dass die maximale Aufenthaltsdauer im Rahmen eines Schengen-Visums drei Monate beträgt (innerhalb von 180 Tagen). Antragstellenden steht es demnach frei, ein Visum für eine kürzere Aufenthaltsdauer zu beantragen. Die Aufenthaltsdauer ist zudem</w:t>
      </w:r>
    </w:p>
    <w:p>
      <w:r>
        <w:t>F-350/2023 Seite 10 von der Gültigkeitsdauer des Visums zu unterscheiden. Gemäss Antrags- formular hat der Gesuchsteller eine Gültigkeitsdauer vom 8. Oktober 2022 bis zum 7. Januar 2023 beantragt und in Bezug auf die beabsichtigte Auf- enthaltsdauer im Schengen-Raum den Zeitraum vom 10. Oktober 2022 bis zum 4. Januar 2023 angegeben. Beide Angaben beziehen sich somit zwei- felsfrei auf einen rund dreimonatigen Besuchsaufenthalt. Auch die Reise- versicherung des Gesuchstellers wurde für einen dreimonatigen Aufenthalt abgeschlossen. Mit Schreiben vom 10. Oktober 2022 führten die Be- schwerdeführenden aus, es sei für den Besuch des Gesuchstellers ein Zeitfenster von zwei Monaten – vom 20. Dezember 2022 bis 20. Februar 2023 – angedacht. Die Beschwerdeführenden bringen sodann erst auf Be- schwerdeebene vor, dass ein nur zwei- bis vierwöchiger Aufenthalt beab- sichtigt sei – wobei sie weiterhin an der Ausstellung eines Visums für einen Aufenthalt bis maximal 90 Tage festhalten. Die Ausführungen der Be- schwerdeführenden hinsichtlich der tatsächlich beabsichtigten Aufenthalts- dauer des Gesuchstellers erweisen sich somit als unklar. Ungeachtet des- sen ist auf die beantragte Aufenthaltsdauer von drei Monaten abzustellen. Angesichts des vorgesehenen längeren Besuchsaufenthalts des Gesuch- stellers in der Schweiz darf zudem davon ausgegangen werden, dass die Betreuung der Tochter auch ohne die dauerhafte Anwesenheit des Ge- suchstellers gewährleistet ist.</w:t>
      </w:r>
    </w:p>
    <w:p>
      <w:r>
        <w:rPr>
          <w:b/>
        </w:rPr>
        <w:t>E. 8.3</w:t>
      </w:r>
    </w:p>
    <w:p>
      <w:r>
        <w:t>In Bezug auf seine wirtschaftlichen Verhältnisse ist bekannt, dass ein auf den Gesuchsteller lautendes Bankkonto per 8. August 2022 einen Saldo von EGP 48’636.– beziehungsweise umgerechnet Fr. 1’395.– (Um- rechnungskurs am 17. November 2023) auswies. Ausserdem ist er Mitei- gentümer des Elternhauses und besitzt darin eine Eigentumswohnung. Als Fahrer erzielt er zudem gemäss Akten ein bescheidenes, aber regelmässi- ges Einkommen. Hinzu kommen die Mieteinnahmen aus dem Elternhaus sowie die Einkünfte aus seiner nebenberuflichen Tätigkeit im Bauunterneh- men, das er gemeinsam mit seinen Brüdern führt. Als Beleg für die Mitei- gentümerschaft am Elternhaus sowie die Tätigkeit im Bauunternehmen wird allerdings lediglich ein von seiner Mutter und seinen Brüdern unter- zeichnetes Bestätigungsschreiben eingereicht – die geltend gemachten Mieteinnahmen bleiben gänzlich unbelegt. Ebenfalls nicht weiter dokumen- tiert oder belegt sind die Ausführungen zum Goldvermögen sowie zum Grundstück, welches der Gesuchsteller von seinem Vater geerbt haben soll. Insgesamt stellen sich somit die wirtschaftlichen Verhältnisse des Ge- suchstellers als nicht genügend gesichert dar.</w:t>
      </w:r>
    </w:p>
    <w:p>
      <w:r>
        <w:t>F-350/2023 Seite 11</w:t>
      </w:r>
    </w:p>
    <w:p>
      <w:r>
        <w:rPr>
          <w:b/>
        </w:rPr>
        <w:t>E. 8.4</w:t>
      </w:r>
    </w:p>
    <w:p>
      <w:r>
        <w:t>Unter Berücksichtigung der allgemeinen Situation im Herkunftsland und vor dem dargelegten persönlichen Hintergrund durfte die Vorinstanz davon ausgehen, dass keine hinreichende Gewähr für eine fristgerechte und anstandslose Wiederausreise des Gesuchstellers nach einem Be- suchsaufenthalt besteht.</w:t>
      </w:r>
    </w:p>
    <w:p>
      <w:r>
        <w:rPr>
          <w:b/>
        </w:rPr>
        <w:t>E. 8.5</w:t>
      </w:r>
    </w:p>
    <w:p>
      <w:r>
        <w:t>An dieser Einschätzung vermag weder die von den Beschwerdeführen- den unterzeichnete Verpflichtungserklärung, noch ihre Bereitschaft, eine Garantiesumme zu hinterlegen, etwas zu ändern. Demnach wurde dem Gesuchsteller das Visum für den gesamten Schengen-Raum zu Recht ver- weigert. Gründe humanitärer oder anderer Art, welche die Erteilung eines Visums mit räumlich beschränkter Gültigkeit rechtfertigen würden, wurden nicht geltend gemacht und sind auch nicht ersichtlich.</w:t>
      </w:r>
    </w:p>
    <w:p>
      <w:r>
        <w:rPr>
          <w:b/>
        </w:rPr>
        <w:t>E. 9</w:t>
      </w:r>
    </w:p>
    <w:p>
      <w:r>
        <w:t>Die angefochtene Verfügung erweist sich somit im Lichte von Art. 49 VwVG als rechtmässig und die Beschwerde ist abzuweisen.</w:t>
      </w:r>
    </w:p>
    <w:p>
      <w:r>
        <w:rPr>
          <w:b/>
        </w:rPr>
        <w:t>E. 10</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30. Januar 2023 in gleicher Höhe geleisteten Kostenvorschuss ge- deckt. (Dispositiv nächste Seite)</w:t>
      </w:r>
    </w:p>
    <w:p>
      <w:r>
        <w:t>F-350/2023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