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F-34/2025 vom 9. Januar 2025</w:t>
      </w:r>
    </w:p>
    <w:p>
      <w:r>
        <w:t>Bundesverwaltungsgericht, 2025-01-09, FR</w:t>
      </w:r>
    </w:p>
    <w:p>
      <w:r>
        <w:rPr>
          <w:b/>
        </w:rPr>
        <w:t xml:space="preserve">Quelle: </w:t>
      </w:r>
      <w:r>
        <w:t>https://mcp.opencaselaw.ch/entscheid/bvger_F-34_2025</w:t>
      </w:r>
    </w:p>
    <w:p>
      <w:r>
        <w:t>FR: TAF F-34/2025 du 9 janvier 2025</w:t>
      </w:r>
    </w:p>
    <w:p>
      <w:r>
        <w:t>IT: TAF F-34/2025 del 9 gennaio 2025</w:t>
      </w:r>
    </w:p>
    <w:p>
      <w:pPr>
        <w:pStyle w:val="Heading2"/>
      </w:pPr>
      <w:r>
        <w:t>Regeste</w:t>
      </w:r>
    </w:p>
    <w:p>
      <w:r>
        <w:t>Asile (non-entrée en matière) et renvoi (procédure Dublin - art. 31a al. 1 let. b LAsi)</w:t>
      </w:r>
    </w:p>
    <w:p>
      <w:pPr>
        <w:pStyle w:val="Heading2"/>
      </w:pPr>
      <w:r>
        <w:t>Erwägungen</w:t>
      </w:r>
    </w:p>
    <w:p>
      <w:r>
        <w:rPr>
          <w:b/>
        </w:rPr>
        <w:t>E. 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LTF [RS 173.110]), exception non réalisée en l'espèce. La procédure devant le Tribunal est régie par la PA, pour autant que ni la LTAF (art. 37 LTAF) ni la LAsi (art. 6 LAsi) n'en disposent autrement. L’intéressé a qualité pour recourir (art. 48 al. 1 PA).</w:t>
      </w:r>
    </w:p>
    <w:p>
      <w:r>
        <w:t>F-34/2025 Page 5 Interjeté dans la forme (art. 52 al. 1 PA) et le délai (art. 108 al. 3 LAsi) prescrits par la loi, le recours est recevable. Conformément à l'art. 33a al. 2 PA, applicable par renvoi des art. 105 LAsi et 37 LTAF, dans la procédure de recours, la langue est celle de la décision attaquée. Si les parties utilisent une autre langue officielle, celle-ci peut être adoptée. En l'espèce, l’autorité inférieure a instruit l’affaire et rendu sa décision en allemand, le recours ayant été rédigé en français et partiellement en allemand. Dans ces circonstances, le Tribunal adopte le français comme langue de la présente procédure.</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En revanche, le législateur a exceptionnellement soustrait le grief d'inopportunité à l'examen du Tribunal dans les causes relevant du domaine de l'asile (cf. ATAF 2015/9 consid. 6.2 et 8.2.2 [voir aussi consid. 5.6 non publié] et 2014/26 consid. 5.6). Le Tribunal applique le droit d’office, sans être lié par les motifs invoqués par les parties (art. 106 al. 1 LAsi et art. 62 al. 4 PA, par renvoi des art. 6 LAsi et 37 LTAF), ni par l’argumentation juridique développée dans la décision entreprise (cf. ATAF 2014/24 consid. 2.2 et 2009/57 consid. 1.2). Il peut ainsi admettre un recours pour d’autres motifs que ceux invoqués devant lui ou le rejeter en adoptant une argumentation différente de celle de l’autorité intimée (cf. ATAF 2007/41 consid. 2).</w:t>
      </w:r>
    </w:p>
    <w:p>
      <w:r>
        <w:rPr>
          <w:b/>
        </w:rPr>
        <w:t>E. 3</w:t>
      </w:r>
    </w:p>
    <w:p>
      <w:r>
        <w:t>Saisi d’un recours contre une décision de non-entrée en matière sur une demande d’asile, le Tribunal se limite à examiner le bien-fondé d’une telle décision (cf. ATAF 2017 VI/5 consid. 3.1). Plus précisément,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Avant de faire application de la disposition précitée, le SEM examine la compétence relative au traitement d’une demande d’asile selon les critères fixés dans le règlement (UE) n° 604/2013 du Parlement européen et du</w:t>
      </w:r>
    </w:p>
    <w:p>
      <w:r>
        <w:t>F-34/2025 Page 6 Conseil du 26 juin 2013 établissant les critères et mécanismes de détermination de l’Etat membre responsable de l’examen d’une demande de protection internationale introduite dans l’un des Etats membres par un ressortissant de pays tiers ou un apatride (règlement Dublin III, JO L 180/31 du 29 juin 2013). S'il ressort de cet examen qu'un autre Etat est responsable du traitement de la demande d'asile, le SEM rend une décision de non-entrée en matière fondée sur l'art. 31a al. 1 let. b LAsi, après s’être assuré que l'Etat requis ait accepté (explicitement ou tacitement) la prise ou la reprise en charge du requérant (art. 1 et 29a de l’ordonnance 1 du 11 août 1999 sur l’asile relative à la procédure [OA 1, RS 142.311] ; cf. ATAF 2017 VI/7 consid. 2.1 et 2017 VI/5 consid. 6.2).</w:t>
      </w:r>
    </w:p>
    <w:p>
      <w:r>
        <w:rPr>
          <w:b/>
        </w:rPr>
        <w:t>E. 3.2</w:t>
      </w:r>
    </w:p>
    <w:p>
      <w:r>
        <w:t>Aux termes de l’art. 3 par. 1 du règlement Dublin III, une demande de protection internationale est examinée par un seul Etat membre, qui est déterminé selon les critères fixés au chapitre III dudit règlement. La procédure de détermination de l’Etat responsable est engagée aussitôt qu’une demande d’asile a été déposée pour la première fois dans un Etat membre (art. 20 par. 1 du règlement Dublin III). Dans une procédure de prise en charge (anglais : take charge), comme en l’espèce, les critères énumérés au chapitre III du règlement (art. 8 à 15 du règlement Dublin III) doivent être appliqués successivement (principe de l’application hiérarchique des critères de compétence ; art. 7 par. 1 du règlement Dublin III). Pour ce faire, il y a lieu de se baser sur la situation existant au moment du dépôt de la première demande dans un Etat membre (principe de pétrification ; art. 7 par. 2 du règlement Dublin III ; cf. ATAF 2012/4 consid. 3.2).</w:t>
      </w:r>
    </w:p>
    <w:p>
      <w:r>
        <w:rPr>
          <w:b/>
        </w:rPr>
        <w:t>E. 3.3</w:t>
      </w:r>
    </w:p>
    <w:p>
      <w:r>
        <w:t>En application de l'art. 13 par. 1 du règlement Dublin III, lorsqu'il est établi, sur la base de preuves ou d'indices tels qu'ils figurent dans les deux listes mentionnées à l'art. 22 par. 3 dudit règlement, notamment des données visées au règlement (UE) n° 603/2013 du Parlement européen et du Conseil du 26 juin 2013 relatif à la création d'Eurodac (ci-après : règlement UE n°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 L'Etat responsable de l'examen d'une demande de protection internationale en vertu du règlement est tenu de prendre en charge – dans</w:t>
      </w:r>
    </w:p>
    <w:p>
      <w:r>
        <w:t>F-34/2025 Page 7 les conditions prévues aux art. 21, 22 et 29 – le demandeur qui a introduit une demande dans un autre Etat membre (art. 18 par. 1 let. a du règlement Dublin III).</w:t>
      </w:r>
    </w:p>
    <w:p>
      <w:r>
        <w:rPr>
          <w:b/>
        </w:rPr>
        <w:t>E. 3.4</w:t>
      </w:r>
    </w:p>
    <w:p>
      <w:r>
        <w:t>En l’occurrence, les investigations entreprises par le SEM ont révélé, après consultation de l’unité centrale du système européen « Eurodac » et audition de l’intéressé, que le recourant avait franchi irrégulièrement la frontière espagnole et avait été interpellé en Espagne, le 6 septembre 2024, avant de poursuivre son parcours migratoire à destination de la Suisse, via la France. Le 31 octobre 2024, le SEM a dès lors soumis aux autorités espagnoles compétentes, dans le délai fixé à l’art. 21 par. 1 al. 2 du règlement Dublin III, une requête aux fins de prise en charge de l’intéressé, fondée sur la responsabilité ressortant l’art. 13 par. 1 du règlement Dublin III. En date du 17 décembre 2024, l’Espagne a explicitement accepté, dans le délai de deux mois fixé à l’art. 22 par. 1 du règlement Dublin III, de prendre en charge le requérant conformément à sa responsabilité mise en avant par le SEM. Au vu de ce qui précède et dans la mesure où aucun Etat membre n’a délivré de titre de séjour au demandeur (cf. art. 19 par. 1 du règlement Dublin III), la compétence de l’Espagne pour traiter la demande d’asile de l’intéressé doit être admise, ce qui il ne conteste du reste pas en soi.</w:t>
      </w:r>
    </w:p>
    <w:p>
      <w:r>
        <w:rPr>
          <w:b/>
        </w:rPr>
        <w:t>E. 4</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 UE, JO C 364/1 du 18 décembre 2000),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t>F-34/2025 Page 8 En l’occurrence, il n’y a aucune raison sérieuse de penser qu’il existe, en Espagne, de telles défaillances. En effet, ce pays est lié par la Charte UE et, de surcroît, est partie à la Convention du 28 juillet 1951 relative au statut de réfugiés (RS 0.142.30) ainsi qu’à son Protocole additionnel du 31 janvier 1967 (RS 0.142.301), à la Convention du 4 novembre 1950 de sauvegarde des droits de l’homme et des libertés fondamentales (CEDH, RS 0.101) et à la Convention du 10 décembre 1984 contre la torture et autres peines ou traitements cruels, inhumains ou dégradants (RS 0.105) et, à ce titre, applique les dispositions de ces instruments. Partant, l’Espagne est présumée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 directive n° 2013/33/UE du Parlement européen et du Conseil du 26 juin 2013 établissant des normes pour l'accueil des personnes demandant la protection internationale [ci-après : directive Accueil]). Par voie de conséquence, l'application de l'art. 3 par. 2 al. 2 du règlement Dublin III ne saurait trouver application en l’espèce. Cela étant, si l’intéressé devait, à l’issue de son transfert en Espagne et le dépôt d’une demande d’asile auprès des autorités de ce pays,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 (art. 26 directive Accueil).</w:t>
      </w:r>
    </w:p>
    <w:p>
      <w:r>
        <w:rPr>
          <w:b/>
        </w:rPr>
        <w:t>E. 5</w:t>
      </w:r>
    </w:p>
    <w:p>
      <w:r>
        <w:t>Pour s’opposer à son transfert, le recourant a fait valoir un sentiment d’insécurité en Espagne ainsi que la privation de traitement médical qu’il aurait vécue dans ce pays, invoquant implicitement la clause humanitaire prévue par l’art. 17 par. 1 du règlement Dublin III.</w:t>
      </w:r>
    </w:p>
    <w:p>
      <w:r>
        <w:t>F-34/2025 Page 9</w:t>
      </w:r>
    </w:p>
    <w:p>
      <w:r>
        <w:rPr>
          <w:b/>
        </w:rPr>
        <w:t>E. 5.1</w:t>
      </w:r>
    </w:p>
    <w:p>
      <w:r>
        <w:t>Selon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2017 VI/5 consid. 8.5.2).</w:t>
      </w:r>
    </w:p>
    <w:p>
      <w:r>
        <w:rPr>
          <w:b/>
        </w:rPr>
        <w:t>E. 5.2</w:t>
      </w:r>
    </w:p>
    <w:p>
      <w:r>
        <w:t>En l’espèce, le recourant n’a fourni aucun élément concret susceptible d’établir que les autorités espagnoles refuseraient de le prendre en charge et d’examiner sa demande de protection internationale, une fois qu’il l’aura déposée, ni qu’elles ne respecteraient pas le principe de non-refoulement, et failliraient donc à leurs obligations internationales en le renvoyant dans un Etat où sa vie, son intégrité corporelle ou sa liberté seraient sérieusement menacées, ou encore d’où il risquerait d’être astreint à se rendre dans un tel Etat.</w:t>
      </w:r>
    </w:p>
    <w:p>
      <w:r>
        <w:rPr>
          <w:b/>
        </w:rPr>
        <w:t>E. 5.3</w:t>
      </w:r>
    </w:p>
    <w:p>
      <w:r>
        <w:t>S’agissant en particulier des soins médicaux dont l’intéressé aurait été privé en Espagne, selon les dires de son mémoire de recours, le Tribunal relève, d’une part, que les allégations du recourant ne contiennent aucune substance matérielle, ne mentionnant par exemple ni à quelles autorités il se serait adressé, ni à quelle date, ni même en raison de quelle atteinte à la santé. D’autre part, la présence de l’intéressé dans ce pays a été particulièrement brève et, surtout, il n’y avait pas formellement déposé de demande d’asile. Dans ces circonstances, le Tribunal ne saurait retenir une quelconque violation des obligations internationales à ce propos. En tout état de cause, l’Espagne,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 directive Accueil). De plus, le Tribunal rappelle que le retour forcé d'une personne touchée dans sa santé n'est toutefois, selon la jurisprudence de la Cour EDH (cf.</w:t>
      </w:r>
    </w:p>
    <w:p>
      <w:r>
        <w:t>F-34/2025 Page 10 arrêts Paposhvili c. Belgique [Grande Chambre] du 13 décembre 2016, requête n° 41738/10 ; Savran c. Danemark [Grande Chambre] du</w:t>
      </w:r>
    </w:p>
    <w:p>
      <w:r>
        <w:rPr>
          <w:b/>
        </w:rPr>
        <w:t>E. 5.4</w:t>
      </w:r>
    </w:p>
    <w:p>
      <w:r>
        <w:t>En ce qui concerne le sentiment d’insécurité que le recourant dit avoir vécu pendant son bref séjour en Espagne, force est de constater qu’il appartient en premier lieu à l’intéressé de faire connaître ses inquiétudes aux autorités espagnoles compétentes s’il souhaite bénéficier d’un soutien particulier. Dans ce contexte, le Tribunal relève, d’une part, que rien n’indique que les autorités espagnoles ne soient pas capables d’offrir un niveau de sécurité similaire à celui que l’intéressé pourrait connaître en Suisse, ou à tout le moins suffisant en regard des obligations du droit international. En effet, l’Espagne, en tant qu’Etat de droit, est doté d’autorités policière et judiciaires opérationnelles, et est en mesure d’offrir aux requérants une protection adéquate contre d’éventuelles menaces ou agressions de tiers.</w:t>
      </w:r>
    </w:p>
    <w:p>
      <w:r>
        <w:rPr>
          <w:b/>
        </w:rPr>
        <w:t>E. 5.5</w:t>
      </w:r>
    </w:p>
    <w:p>
      <w:r>
        <w:t>Au vu de ce qui précède, le transfert du recourant vers l’Espagne n'est pas contraire aux obligations de la Suisse découlant de ses obligations internationales. Le SEM n’était donc pas tenu de renoncer au transfert et d'examiner lui-même la demande d'asile. 6. Enfin,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w:t>
      </w:r>
    </w:p>
    <w:p>
      <w:r>
        <w:t>F-34/2025 Page 11 combinaison avec l'art. 17 par. 1 du règlement Dublin III (cf. ATAF 2015/9 consid. 8), nonobstant la préférence marquée par le recourant de voir sa procédure d'asile menée par la Suisse. Contrairement à l’argumentation développée au stade du recours, la motivation du SEM, comprenant une pesée des intérêts, est fondée en fait et en droit, y compris au regard du principe de la proportionnalité.</w:t>
      </w:r>
    </w:p>
    <w:p>
      <w:r>
        <w:rPr>
          <w:b/>
        </w:rPr>
        <w:t>E. 6</w:t>
      </w:r>
    </w:p>
    <w:p>
      <w:r>
        <w:t>Enfin,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marquée par le recourant de voir sa procédure d'asile menée par la Suisse. Contrairement à l'argumentation développée au stade du recours, la motivation du SEM, comprenant une pesée des intérêts, est fondée en fait et en droit, y compris au regard du principe de la proportionnalité.</w:t>
      </w:r>
    </w:p>
    <w:p>
      <w:r>
        <w:rPr>
          <w:b/>
        </w:rPr>
        <w:t>E. 7</w:t>
      </w:r>
    </w:p>
    <w:p>
      <w:r>
        <w:t>Au regard de l’ensemble des éléments qui précèdent, c’est à bon droit que le SEM n'est pas entré en matière sur la demande d'asile de l’intéressé, en application de l'art. 31a al. 1 let. b LAsi, et qu'il a prononcé leur transfert vers l’Espagne conformément à l'art. 44 phr. 1 LAsi, étant précisé qu'aucune exception à la règle générale du renvoi n'est réalisée (cf. art. 32 OA 1). Le recours est, par conséquent, rejeté. S'avérant manifestement infondé, il est de plus rejeté dans une procédure à juge unique avec l'approbation d'un second juge (art. 111 let. e LAsi). Il est dès lors renoncé à un échange d'écritures et le présent arrêt n’est motivé que sommairement (art. 111a al. 1 et 2 LAsi). Dans la mesure où il a été immédiatement statué sur le fond, les requêtes formulées dans le recours tendant à l’octroi de l’effet suspensif et à l’exemption du paiement d’une avance de frais sont sans objet. Le litige prenant fin, les mesures superprovisionnelles prononcées le 6 janvier 2024 sont caduques.</w:t>
      </w:r>
    </w:p>
    <w:p>
      <w:r>
        <w:rPr>
          <w:b/>
        </w:rPr>
        <w:t>E. 8</w:t>
      </w:r>
    </w:p>
    <w:p>
      <w:r>
        <w:t>Les conclusions du recours étant d'emblée vouées à l'échec, la demande d'assistance judiciaire est rejetée. 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r>
        <w:t>F-34/2025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