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F-3499/2019 vom 20. September 2021</w:t>
      </w:r>
    </w:p>
    <w:p>
      <w:r>
        <w:t>Bundesverwaltungsgericht, 2021-09-20, FR</w:t>
      </w:r>
    </w:p>
    <w:p>
      <w:r>
        <w:rPr>
          <w:b/>
        </w:rPr>
        <w:t xml:space="preserve">Quelle: </w:t>
      </w:r>
      <w:r>
        <w:t>https://mcp.opencaselaw.ch/entscheid/bvger_F-3499_2019</w:t>
      </w:r>
    </w:p>
    <w:p>
      <w:r>
        <w:t>FR: TAF F-3499/2019 du 20 septembre 2021</w:t>
      </w:r>
    </w:p>
    <w:p>
      <w:r>
        <w:t>IT: TAF F-3499/2019 del 20 settembre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1.3</w:t>
      </w:r>
    </w:p>
    <w:p>
      <w:r>
        <w:t>À moins que la LTAF n'en dispose autrement, la procédure devant le Tribunal est régie par la PA (art. 37 LTAF).</w:t>
      </w:r>
    </w:p>
    <w:p>
      <w:r>
        <w:rPr>
          <w:b/>
        </w:rPr>
        <w:t>E. 1.4</w:t>
      </w:r>
    </w:p>
    <w:p>
      <w:r>
        <w:t>L'intéressé a qualité pour recourir (art. 48 PA). Présenté dans la forme et les délais prescrits par la loi, le recours est recevable (art. 50 et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w:t>
      </w:r>
    </w:p>
    <w:p>
      <w:r>
        <w:rPr>
          <w:b/>
        </w:rPr>
        <w:t>E. 2.2</w:t>
      </w:r>
    </w:p>
    <w:p>
      <w:r>
        <w:t>En l'occurrence, la décision querellée a été prononcée après l'entrée en vigueur du nouveau droit (au 1er janvier 2019), mais en application de l'ancien droit. L'autorité inférieure a en effet fait valoir que, dans la mesure où le SPOP avait statué en date du 21 novembre 2018 (pce TAF 1 p. 4),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arrêt du TAF F-1734/2019 du 23 mars 2020 consid. 3.2, non publié in ATAF 2020 VII/2). La décision querellée a ainsi été rendue en application de l'ancien droit.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ATAF 2020 VII/5 consid. 2.1),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3</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1er juin 2019 est entré en vigueur le nouvel art. 99 LEI. Cette modification législative, qui trouve immédiatement application, n'a pas d'incidence sur l'issue de la présente cause dès lors que la formulation de l'art. 99 al. 1 LEI est en tous points identique à celle de l'ancien art. 99 1ère phrase LEtr (ATAF 2020 VII/2 consid. 4.1). En l'espèce, le SEM avait la compétence d'approuver le renouvellement de l'autorisation de séjour de l'intéressé, en application de l'art. 85 OASA et de l'art. 4 let. d de l'ordonnance du DFJP du 13 août 2015 relative aux autorisations et aux décisions préalables dans le domaine du droit des étrangers soumises à la procédure d'approbation (RS 142.201.1; cf. ATF 141 II 169 consid. 4). Il s'ensuit que, ni le SEM, ni a fortiori le Tribunal, ne sont liés par le préavis de l'autorité cantonale du 21 novembre 2018 de renouveler l'autorisation de séjour de l'intéressé et peuvent s'écarter de l'appréciation faite par l'autorité cantonale.</w:t>
      </w:r>
    </w:p>
    <w:p>
      <w:r>
        <w:rPr>
          <w:b/>
        </w:rPr>
        <w:t>E. 4</w:t>
      </w:r>
    </w:p>
    <w:p>
      <w:r>
        <w:t>L'objet du litige porte sur la question du renouvellement de l'autorisation de séjour du recourant (cf. arrêt du TF 2C_800/2019 du 7 février 2020 consid. 3.4.3 et 3.4.4). Il convient donc de se pencher sur les bases légales régissant la poursuite de son séjour en Suisse. Selon l'art. 42 al. 1 LEtr, le conjoint d'un ressortissant suisse ainsi que ses enfants célibataires de moins de 18 ans ont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(arrêt du TAF F-2504/2019 du 5 mai 2021 consid. 4.5). Le Tribunal fédéral a considéré que l'art. 49 LEtr requiert que la communauté conjugale soit maintenue, mais aussi que des raisons majeures justifient l'existence de domiciles séparés, ce qui n'est pas le cas lors de difficultés de cohabitation avec les enfants d'un premier lit de l'autre conjoint (arrêt du TF 2C_24/2013 du 3 mai 2013 consid. 2.3). En l'espèce, à la suite de la séparation du couple, puis du divorce prononcé le 30 avril 2020, le recourant ne peut plus se prévaloir de l'art. 42 al. 1 LEtr pour demeurer sur territoire helvétique (cf. arrêt du TF 2C_401/2018 du 17 septembre 2018 consid. 3.1), ni d'ailleurs des art. 8 par. 1 CEDH et 13 al. 1 Cst. sous l'angle de la protection de la vie familiale (cf. ATF 141 II 169 consid. 5.2.1). Il ne saurait d'ailleurs invoquer utilement sa mauvaise relation avec son beau-fils dans le cadre de sa séparation d'avec son épouse, ce d'autant moins que le couple a divorcé.</w:t>
      </w:r>
    </w:p>
    <w:p>
      <w:r>
        <w:rPr>
          <w:b/>
        </w:rPr>
        <w:t>E. 5</w:t>
      </w:r>
    </w:p>
    <w:p>
      <w:r>
        <w:t>Dès lors, il convient d'examiner si le recourant peut se prévaloir d'un droit à la prolongation de son autorisation de séjour en vertu de l'art. 50 LEtr (cf. arrêt du TF 2C_955/2017 du 5 mars 2018 consid. 3.1).</w:t>
      </w:r>
    </w:p>
    <w:p>
      <w:r>
        <w:rPr>
          <w:b/>
        </w:rPr>
        <w:t>E. 5.1</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Il s'agit de deux conditions cumulatives (cf. ATF 140 II 345 consid. 4, 136 II 113 consid. 3.3.3).</w:t>
      </w:r>
    </w:p>
    <w:p>
      <w:r>
        <w:rPr>
          <w:b/>
        </w:rPr>
        <w:t>E. 5.1.1</w:t>
      </w:r>
    </w:p>
    <w:p>
      <w:r>
        <w:t>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 la durée du mariage n'est ainsi pas déterminante (ATF 140 II 345 consid. 4.1 et 138 II 229 consid. 2). Cette durée minimale est une limite absolue et s'applique même s'il ne reste que quelques jours pour atteindre la durée des trente-six mois exigée par l'art. 50 al. 1 let. a LEtr (ATF 137 II 345 consid. 3.1.3; arrêt du TF 2C_808/2015 du 23 octobre 2015 consid. 3.1).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w:t>
      </w:r>
    </w:p>
    <w:p>
      <w:r>
        <w:rPr>
          <w:b/>
        </w:rPr>
        <w:t>E. 5.1.2</w:t>
      </w:r>
    </w:p>
    <w:p>
      <w:r>
        <w:t>La notion d'union conjugale (« Ehegemeinschaft ») au sens de l'art. 50 al. 1 let. a LEtr - et, par analogie, au sens de l'art. 77 al. 1 let. a OASA - implique la vie en commun des époux, sous réserve de l'exception (non réalisée en l'espèce) prévue à l'art. 49 LEtr, en relation avec l'art. 76 OASA (cf. ATF 136 II 113 consid. 3.2) lors de raisons majeures, de telles raisons pouvant consister notamment en des problèmes familiaux importants, qui imposent une séparation provisoire (ATF 137 II 345 consid. 3.1.2, avec renvoi à l'arrêt du TF 2C_544/2010 du 23 décembre 2010 consid. 2.2) ou par exemple lors d'un séjour à l'hôpital ou en prison (arrêts du TF 2C_983/2013 du 20 juin 2014 consid. 3.1 et 2C_563/2013 du 9 janvier 2014 consid. 3.2). Les motifs susceptibles de constituer une raison majeure au sens de l'art. 49 LEtr peuvent être familiaux, mais sont avant tout d'ordre professionnel. Ils doivent dans tous les cas être objectifs et d'une certaine importance. D'une façon générale, un motif apparaît d'autant plus sérieux et digne d'être pris en considération que les époux ne peuvent remédier à leur situation de vie séparée qu'au prix d'un préjudice important (arrêts du TF 2C_871/2010 du 7 avril 2011 consid. 3.1 et 2C_544/2010 consid. 2.1 et 2.3.1).</w:t>
      </w:r>
    </w:p>
    <w:p>
      <w:r>
        <w:rPr>
          <w:b/>
        </w:rPr>
        <w:t>E. 5.1.3</w:t>
      </w:r>
    </w:p>
    <w:p>
      <w:r>
        <w:t>La notion d'union conjugale au sens des dispositions susmentionnées ne se confond pas avec celle du mariage, qui peut n'être plus que formel, l'union conjugale supposant toutefois l'existence d'une communauté conjugale effectivement vécue et reposant sur une volonté matrimoniale réciproque et la volonté de la maintenir (cf. ATF 138 II 229 consid. 2 et 137 II 345 consid. 3.1.2). Elle ne se confond pas non plus avec celle de la seule cohabitation (cf., notamment, les arrêts du TF 2C_30/2016 du 1er juin 2016 consid. 3.1 et 2C_1111/2015 du 9 mai 2016 consid. 4.1). Si la cohabitation des époux a formellement duré plus de trois ans, l'absence de volonté matrimoniale réciproque ne peut être admise à la légère; le contraire reviendrait en effet à vider de toute substance les conditions posées à l'admission d'un abus de droit en vertu de l'art. 51 al. 1 let. a et al. 2 let. a LEtr et de la jurisprudence (restrictive) applicable en la matière (arrêt du TAF F-2504 /2019 du 5 mai 2021 consid. 4.3). Par conséquent, il est nécessaire d'avoir des indices sérieux, objectifs et concrets, qui indiquent clairement que la communauté conjugale n'existe plus que formellement, que la relation entre les époux n'est pas effectivement vécue ou que la volonté matrimoniale d'au moins l'un des époux n'existe plus (cf. arrêts du TF 2C_392/2019 du 24 janvier 2020 consid. 3.2.2 et 2C_939/2018 du 24 septembre 2019 consid. 3.4; sur ces questions, cf., également, arrêts du TAF F-3256/2019 du 15 juillet 2020 consid. 7.1, F-2373/2018 du 10 mars 2020 consid. 5.3 et F-2824/2017 du 24 septembre 2019 consid. 6.2 à 6.5). Il ne s'agit pas d'évaluer la qualité d'un mariage, mais uniquement d'exclure l'absence manifeste de volonté matrimoniale commune (cf. arrêt du TAF F-2373/2018 du 10 mars 2020 consid. 6.6 et 6.7).</w:t>
      </w:r>
    </w:p>
    <w:p>
      <w:r>
        <w:rPr>
          <w:b/>
        </w:rPr>
        <w:t>E. 5.2</w:t>
      </w:r>
    </w:p>
    <w:p>
      <w:r>
        <w:t>Selon la jurisprudence du Tribunal fédéral et du Tribunal de céans,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les arrêts du TF 2C_30/2016 du 1er juin 2016 consid. 3.1 et 3.4 et 2C_1111/2015 du 9 mai 2016 consid. 4.1). 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(cf., notamment, en ce sens, l'arrêt du TF 2C_970/2016 du 6 mars 2017 consid. 2.4), par exemple par le dépôt (confirmé) d'une requête de mesures protectrices de l'union conjugale (cf. arrêts du TAF F-4893/2017 du 27 novembre 2018 consid. 7.2 et F-1216/2016 du 26 juin 2017 consid. 6.2.3).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arrêt du TF 2C_970/2016 consid. 2.4). Le Tribunal fédéral a également considéré qu'une relation conjugale n'avait en principe pas un caractère intact en présence d'un enfant adultérin ou d'une relation extra-maritale (arrêts du TF 2C_184/2014 du 4 décembre 2014 consid. 4.4 et 2C_982/2013 du 21 juin 2014 consid. 2.3.2).</w:t>
      </w:r>
    </w:p>
    <w:p>
      <w:r>
        <w:rPr>
          <w:b/>
        </w:rPr>
        <w:t>E. 5.3</w:t>
      </w:r>
    </w:p>
    <w:p>
      <w:r>
        <w:t>Cela étant, en l'absence d'éléments objectifs et concrets indiquant clairement que la vie commune n'est pas effective ou que la volonté matrimoniale commune fait défaut (arrêt du TAF F-2504/2019 du 5 mai 2021 consid. 4.5), il y a lieu de se référer à la durée extérieurement perceptible du domicile matrimonial commun, sous réserve de l'existence d'un abus de droit au sens de l'art. 51 al. 1 let. a et al. 2 let. a LEtr (sur les conditions d'application de cette disposition, cf. notamment les arrêts du TF 2C_595/2017 du 13 avril 2018 consid. 5.2, 2C_656/2017 du 23 janvier 2018 consid. 4.6 et 2C_118/2017 du 18 août 2017 consid. 4.2). 6.6.1 En l'occurrence, le recourant s'est marié à A._______ (VD) avec Z._______, le 8 mars 2013. Celle-ci a déposé une requête de mesures protectrices de l'union conjugale en date du 27 mai 2016 auprès du Tribunal d'arrondissement de la Broye et du Nord vaudois, dans laquelle elle fait part de ses difficultés personnelles (tentative de suicide en février 2015) et conjugales. Z._______, à cette occasion, précise avoir demandé (à son époux) le divorce en date du 27 février 2016. Le Président du Tribunal d'arrondissement de la Broye et du Nord vaudois a prononcé la séparation du couple en date du 5 juillet 2016 pour une durée indéterminée. Entendue, le 9 mai 2018, par la Police cantonale vaudoise, Z._______ a notamment déclaré que son mari avait changé de comportement vis-à-vis d'elle « depuis le jour de [leur] mariage ». Suite à sa tentative de suicide, elle avait entamé un suivi psychiatrique, durant lequel elle avait réalisé que «ça ne pouvait plus durer ainsi», demandant alors la séparation. Elle a ajouté qu'en été 2015, le couple s'était rendu au Cameroun, séjour pendant lequel son mari avait eu une aventure avec une autre femme. Un fils était né de cette relation, au printemps 2016, ce que le recourant avait avoué à son épouse. Le 26 novembre 2018, Z._______ a ouvert action en divorce par demande unilatérale. Le 30 avril 2020, le Tribunal d'arrondissement de la Broye et du Nord vaudois a prononcé le divorce des époux X.Z._______. Le jugement de divorce souligne que les époux avaient rencontré «de sérieuses difficultés conjugales dès leur mariage», que le recourant avait changé d'attitude «assez rapidement après le mariage» et qu'il aurait conçu un enfant adultérin en été 2015, durant un séjour au Cameroun. 6.2 Dans sa décision du 14 juin 2019, le SEM a retenu que la durée effective de l'union conjugale de trois ans de l'intéressé (soit du 8 mars 2013 au 5 juillet 2016) était sujette à caution. Dans le cadre de son recours du9 juillet 2019, l'intéressé a, quant à lui, fait valoir que le motif de sa séparation en 2016 (les relations conflictuelles avec son beau-fils) n'avait «aucun lien avec la crise du couple en 2015», qui avait été «largement surmontée». Cela étant, le recourant n'a jamais contesté d'une quelconque manière, que ce soit dans le cadre de sa procédure de divorce ou au cours de la présente procédure, les propos constants de son ex-épouse au sujet de son aventure extra-conjugale en été 2015, suivie de la naissance d'un enfant adultérin au printemps 2016 (cf. d'ailleurs la demande de visa de retour adressée au SPOP en date du 25 septembre 2020, dans laquelle l'intéressé fait mention de son fils malade). Lors de son audition du 8 mai 2018 par la Police cantonale vaudoise, l'intéressé avait par ailleurs reconnu que les relations avec son beau-fils avaient entraîné «un climat de conflit permanent», ajoutant que sa relation de couple s'était «dégradée » ensuite de la tentative de suicide de son épouse (soit en février 2015), ce qui l'avait incité à aller «trouver des spécialistes» pour « sauver [son] couple ». Outre le fait que l'intéressé n'a pas prouvé à satisfaction de droit ce dernier allégué, sa - prétendue - volonté de sauver son couple indique la gravité de la déliquescence du lien conjugal à cette époque déjà (voir en ce sens arrêt du TAF F-3293/2017 du 23 janvier 2018 consid. 8.1). Durant cette audition, l'intéressé a également déclaré que sa séparation datait «officiellement» du 1er septembre 2016, lorsqu'il avait trouvé son propre appartement. Cela étant, le fait qu'il ait également soutenu - en contradiction avec les pièces figurant au dossier de la cause - qu'aucunes mesures protectrices de l'union conjugale n'avaient été prononcées, met à mal la crédibilité générale de ses déclarations. Ses affirmations fluctuantes ne plaident pas davantage en sa faveur : dans ses déterminations à l'autorité inférieure du 8 février 2019, de même que dans son recours du 9 juillet 2019, l'intéressé a en effet affirmé que sa séparation datait du mois de juillet 2016, lorsque les époux avaient «pris des domiciles séparés». 6.3 Il apparaît donc que dès le début du mariage, le couple a connu d'importantes tensions, nourries par des circonstances bien antérieures au dépôt, par l'épouse, d'une requête de mesures protectrices de l'union conjugale (relations conflictuelles entre le recourant et son beau-fils, tentative de suicide de l'épouse en février 2015, relation extra-conjugale de l'intéressé en été 2015). Le Tribunal juge donc qu'à partir du mois de février 2016 au plus tard, lorsqu[e] Z._______ a demandé le divorce à son mari, aucune volonté matrimoniale commune ne pouvait être admise, nonobstant l'existence formelle du mariage. Il est, à cet égard, significatif que l'épouse ait déposé sa requête de mesures protectrices de l'union conjugale presque immédiatement après avoir eu connaissance de la naissance de l'enfant adultérin de son mari. Au vu de la jurisprudence rendue en la matière, le Tribunal parvient à la conclusion que le lien conjugal du recourant était irrémédiablement altéré (respectivement qu'une volonté matrimoniale commune faisait défaut) avant le terme des trois ans de vie commune exigés par l'art. 50 al. 1 let. a LEtr (cf. ATF 142 II 265 consid. 3.2 ; arrêts du TAF F-2824/2017 du 24 septembre 2019 consid. 7.4.1 et F-2718/2018 du 20 avril 2020 consid. 8.2). La communauté conjugale des époux ayant duré moins de trois ans, la première condition posée par l'art. 50 al. 1 let. a LEtr, soit celle relative à la durée de la communauté conjugale, n'est pas réalisée en l'espèce. 7.Par souci de complétude, le Tribunal examinera également si la condition (cumulative) de l'intégration réussie (art. 50 al. 1 let. a LEtr) est remplie en l'espèce. 7.1 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voir également ATF 134 II 1 consid. 4.1 et les arrêts du TF 2C_706/2020 du 14 janvier 2021 consid. 4.2 et 2C_861/2015 du 11 février 2016 consid. 5.1 à 5.3.1).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(arrêts du TF 2C_656/2016 du 9 février 2017 consid. 5.2 et 2C_385/2016 du 4 octobre 2016 consid. 4.1; sur toutes ces questions, voir Noémie Gonseth/ Gregor T. Chatton, La notion d'intégration dans la jurisprudence du Tribunal fédéral et du Tribunal administratif fédéral, in: Achermann et al. [éd.], Annuaire du droit de la migration 2018/2019, 2019, pp. 83 ss., spéc. pp. 103 ss.). 7.2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2C_301/2018 du 24 septembre 2018 consid. 3.2, 2C_352/2014 du 18 mars 2015 consid. 4.3 et 2C_385/2014 du 19 janvier 2015 consid. 4.1). 7.3 Des efforts d'intégration accomplis après la séparation et, en premier lieu, pendant la durée résiduelle de l'autorisation de séjour obtenue pour cause de regroupement familial peuvent être pris en considération pour l'analyse du critère de l'intégration réussie au sens de l'art. 50 al. 1 let. a LEtr (cf. arrêt du TF 2C_160/2018 du 29 octobre 2018 consid. 2.2 et arrêt du TAF F-3879/2018 du 10 septembre 2020 consid. 8.4.2). 7.47.4.1 S'agissant de l'intégration socio-professionnelle et économique du recourant, il ressort du dossier que celui-ci a exercé plusieurs activités temporaires depuis son arrivée en Suisse - où il a vécu de manière irrégulière entre 2005 et 2013, notamment par l'intermédiaire d'agences de placement. Il a ainsi exercé plusieurs activités lucratives, dont des emplois à temps partiel ou pendant de brèves périodes, notamment (sans autorisation) dans le domaine de la restauration entre 2005 et 2013. Il a exercé comme aide de cuisine dans le restaurant B._______ à C._______, ainsi qu'à temps plein en tant que manutentionnaire, collaborateur inventaire et nettoyeur chez D._______ entre le 1er septembre 2014 et le 6 mars 2015 (notamment pour E._______, F._______, G._______, H._______, I._______ et J._______). Il a également oeuvré, à 100%, dans le département d'emballage de K._______ entre le 20 février 2015 et le 12 janvier 2016, puis - à 100% - en qualité d'ouvrier d'atelier dans le recyclage d'appareils électroniques à la fondation L._______ (programme d'occupation) entre le 22 avril 2016 et le 17 juin 2016. Il a aussi travaillé à temps plein en qualité de cariste à la fondation L._______ (programme d'occupation) du 5 juillet 2016 au 5 août 2016 et a exercé plusieurs missions en tant que manutentionnaire chez M._______ en août 2017, et à 100% en qualité d'aide storiste dans la société N._______ entre les mois d'août 2018 et mars 2020. Il a connu une période de chômage par la suite, avant d'exercer des missions de livreur-manutentionnaire et d'aide storiste en novembre 2020, décembre 2020 et juillet 2021. Il a été engagé, au mois d'août 2021, comme aide monteur en stores chez O._______, à temps plein, pour un salaire mensuel brut de CHF 4'200.-. En outre, il a suivi différentes formations entre 2013 et 2017. Il a fréquenté un cours d'initiation à l'électricité du 16 avril au 21 mai 2013, passé des examens de conduite « chariot-élévateur à timon », « chariot-élévateur à mât rétractable » et « chariot-élévateur à contrepoids » en août 2014 , suivi une formation en gestion de stock en novembre/décembre 2014 et un cours en sécurité et ergonomie pour les fonctions de la logistique en septembre 2016, ainsi qu'un cours et certificat pour déplacer les machines de chantier M1 en mars 2017 et un cours intensif « Polyvalence en construction » et « Polyvalence en bâtiment » en mars 2017. 7.4.2 Il s'agit de retenir, au crédit du recourant, sa volonté de formation ainsi qu'une certaine stabilisation de sa situation professionnelle. Cela étant, celle-ci est intervenue au-delà de la date d'échéance de son autorisation de séjour obtenue par regroupement familial (7 mars 2018), de sorte que le lien de connexité avec son union conjugale n'apparaît plus donné (cf. arrêt du TF 2C_810/2016 du 21 mars 2017 consid. 4.1). Au surplus, il convient de rappeler que l'intéressé a perçu des prestations d'aide sociale entre le 1er mai 2017 et le 30 septembre 2018 pour un montant total de CHF 28'892,15 et que les activités exercées l'ont parfois été au noir, partant illégalement. Enfin, il fait l'objet de plusieurs actes de défaut de biens pour CHF 32'690,60 francs et de poursuites pour CHF 39'119,80. Ces montants sont en augmentation depuis 2018 (cf. extraits du registre des poursuites des 27 avril 2018 et 1er mars 2019). Dès lors, force est de constater que l'intégration socio-économique et professionnelle du recourant ne peut être qualifiée de réussie (cf. arrêt du TF 2C_522/2015 du 12 mai 2016 consid. 3.3.1 et arrêt du TAF F-3709/2017 du 14 janvier 2019 consid. 8.1.3 et 8.2). 7.5 7.5.1 Sur le plan linguistique, l'art. 77 al. 4 let. b OASA précise qu'un étranger s'est bien intégré au sens de l'art. 50 al. 1 let. a LEtr notamment lorsqu'il manifeste sa volonté d'apprendre la langue nationale parlée au lieu de domicile. Le degré de maîtrise que l'on est en droit d'exiger varie par ailleurs en fonction de la situation socio-professionnelle de l'intéressé, pour autant que celui-ci soit en mesure de communiquer de façon intelligible et de se faire comprendre de manière simple dans les situations de la vie quotidienne (cf. arrêts du TF 2C_160/2018 du 29 octobre 2018 consid. 2.4 et 2C_861/2015 du 11 février 2016 consid. 5.3). 7.5.2 En l'occurrence, le recourant est originaire du Cameroun, pays dont l'une des langues officielles est le français. Il est francophone (cf. observations du 16 août 2021 et pce SEM 89 [curriculum vitae]), de sorte qu'il doit être admis qu'il possède une bonne maîtrise de la langue française. 7.6 7.6.1 Si les attaches sociales en Suisse constituent l'un des critères à prendre en considération dans l'analyse de la réussite de l'intégration, l'absence de liens sociaux très étroits en Suisse n'exclut pas d'emblée l'existence d'une intégration réussie, de même que l'absence de vie associative (arrêts du TF 2C_656/2016 du 9 février 2017 consid. 5.2 et 2C_385/2016 du4 octobre 2016 consid. 4.1). Une vie associative cantonnée à des relations avec des ressortissants de l'Etat d'origine représente néanmoins un indice plaidant en défaveur d'une intégration réussie (cf. arrêts du TF 2C_522/2015 du 12 mai 2016 consid. 2.3 et 2C_175/2015 du 30 octobre 2015 consid. 2.3). 7.6.2 En l'espèce, le dossier de la cause ne permet pas d'affirmer que le recourant se serait créé des attaches sociales particulièrement étroites, à tout le moins hors de son milieu professionnel. Dans ses observations du 16 août 2021, l'intéressé a indiqué être très apprécié par ses collègues de travail (qui étaient devenus des amis) et son patron. Dans son recours et lors de son audition du 8 mai 2018 par la Police cantonale vaudoise, il a souligné qu'il se rendait à l'église, qu'il jouait régulièrement au football, qu'il disposait d'un cercle important d'amis et avait un réseau social riche. Enfin, selon une attestation produite à l'appui de son recours, il a oeuvré en tant que bénévole au P._______ Festival du 21 au 23 août 2014. Néanmoins, aucune lettre de soutien tendant à témoigner de sa bonne intégration sociale n'a été produite (cf. arrêt du TAF F-5756/2018 du 27 novembre 2020 consid. 6.3.3), alors que le Tribunal de céans lui avait donné l'occasion d'établir par pièces tous ses allégués. 7.7 7.7.1 Au titre du respect de l'ordre juridique suisse, le Tribunal fédéral prend notamment en compte, dans l'examen de l'art. 50 al. 1 let. a LEtr, l'observation par l'étranger des décisions des autorités et des obligations de droit public ou des engagements privés, en particulier l'absence de poursuites ou de dette fiscale et le paiement ponctuel des pensions alimentaires (voir également art. 80 al. 1 OASA ; cf. arrêt du TF 2C_810/2016 du 21 mars 2017 consid. 4.2). L'examen d'éventuelles contraventions à l'ordre public suisse doit respecter le principe de la présomption d'innocence. Il y a lieu d'écarter de l'examen les délits qui n'ont pas donné lieu à condamnation, du moins lorsque les faits à leur origine n'ont pas expressément été reconnus par la personne mise en cause. Quant aux condamnations prononcées, elles doivent être appréciées en fonction du type de délit, de la gravité de la faute et de la peine infligée. Enfin, les infractions radiées du casier judiciaire peuvent être prises en considération (cf. arrêts du TF 2C_983/2011 du 13 juin 2012 consid. 3.3.3 et 2C_749/2011 du 20 janvier 2012 consid. 3.3 ; arrêt du TAF F-6775/2018 du 2 juin 2020 consid. 6.2.6). 7.7.2 Le Tribunal rappelle d'emblée que le recourant a fait l'objet de poursuites et d'actes de défaut de biens (cf. supra, consid. 7.4.2) ainsi que de deux condamnations pénales : - le 30 septembre 2008, par la Préfecture de Lausanne à une peine pécuniaire de 90 jours-amende à 10 CHF, avec sursis pendant deux ans, et à une amende de 100 CHF pour séjour illégal et activité lucrative sans autorisation, - le 9 mai 2017, par le Ministère public de l'arrondissement de Lausanne à une peine de 50 jours-amende à CHF 30.- et une amende de CHF 100.-, pour des infractions à la loi fédérale sur la circulation routière (LCR) et à l'ordonnance réglant l'admission à la circulation routière (OAC). Bien que ces condamnations ne sanctionnent pas des faits d'une extrême gravité, il sied néanmoins de relever que la première d'entre elles dénote une propension à la dissimulation vis-à-vis des autorités (cf. arrêt du TF 2C_851/2014 du 24 avril 2015 consid. 4.3). En outre, la seconde d'entre elles, prononcée le 9 mai 2017 pour des infractions commises entre novembre 2016 et février 2017, est relativement récente (cf. arrêt du TF 2C_1000/2013 du 20 juillet 2014 consid. 3.3.3). Enfin,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130 II 493 consid. 4.2 ; arrêts du TF 2C_301/2018 du 24 septembre 2018 consid. 5.2 et 2C_420/2015 du 1er octobre 2015 consid. 2.4). 7.8 Compte tenu des considérations qui précèdent et au terme d'une appréciation globale des circonstances, le Tribunal parvient à la conclusion que l'intégration du recourant en Suisse ne peut pas être considérée comme réussie au sens de l'art. 50 al. 1 let. a LEtr et de la jurisprudence y relative. Partant, le recourant ne satisfait pas aux deux conditions posées à la prolongation de son autorisation de séjour en application de cette disposition légale. Il y a donc lieu d'examiner si la poursuite de son séjour en Suisse s'impose pour des raisons personnelles majeures au sens de l'art. 50 al. 1 let. b LEtr. 8.8.1 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LEtr ne sont pas données, soit que la vie commune en Suisse a duré moins de trois ans, soit que l'intégration n'est pas réussie (ATF 138 II 393 consid. 3.1 et arrêts cités), mais où des raisons personnelles majeures l'imposent.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LEtr et consid. 3.2.2 et 3.2.3 sur la notion de "raisons personnelles majeures"). 8.2 Dans le cas particulier, il est constant que la communauté conjugale des intéressés n'a pas été dissoute par le décès du conjoint. De plus, aucun élément ne permet de penser que le mariage ait été conclu en violation de la libre volonté de l'un des époux. En outre, le recourant n'a pas allégué avoir été victime de violences conjugales susceptibles d'imposer la poursuite de son séjour en Suisse en vertu de l'art. 50 al. 2 LEtr. Le recourant séjourne depuis seize ans en Suisse. Il y a néanmoins résidé sans autorisation jusqu'à ce que ses conditions de séjour soient régularisées ensuite de son mariage avec une ressortissante suisse. Il n'apparaît pas qu'il se soit créé avec ce pays des attaches à ce point étroites qu'il serait devenu étranger à son pays d'origine. En effet, le prénommé, arrivé en Suisse à l'âge de vingt-cinq ans, a passé à l'étranger son enfance, son adolescence et les premières années de sa vie d'adulte, années qui apparaissent comme essentielles pour la formation de la personnalité et, partant, pour l'intégration sociale et culturelle (arrêt du TF 2C_1188/2012 du 17 avril 2013 consid. 4.2 ; ATAF 2020 VII/2 consid. 9.2.1). A l'exclusion de son ex-épouse et de quelques cousins résidant en Suisse alémanique, le recourant - qui est jeune et en bonne santé - n'a aucune attache familiale en Suisse; ses racines socio-culturelles se trouvent au Cameroun, où vivent sa mère, sa soeur jumelle et vraisemblablement des oncles et tantes ainsi que son fils (cf. supra, consid. 6.2 ; voir déterminations du 8 février 2019 à l'autorité inférieure, audition du 8 mai 2018 par la Police cantonale vaudoise et observations du 16 août 2021). L'intéressé a, à l'évidence, conservé des contacts avec certains des membres de sa famille au pays (cf. les visas de retour qui lui ont été octroyés entre 2019 et 2021 pour des motifs familiaux). Il a certainement également conservé, dans son pays d'origine, un cercle d'amis et de connaissances qui seraient susceptibles de favoriser son retour. Il serait donc en mesure de se réintégrer à la société camerounaise - notamment en y mettant en pratique les compétences professionnelles et les connaissances acquises en Suisse, au terme d'une période de réadaptation, nonobstant une situation économique initialement moins favorable que celle qu'il connaît en Suisse. C'est ici le lieu de rappeler que le fait que les conditions d'existence soient plus difficiles dans le pays de provenance, compte tenu d'un niveau de vie différent, n'est pas déterminant au regard de l'art. 50 al. 1 let. b LEtr (ATF 137 II 345 consid. 3.2.3 ; arrêt du TF 2C_1119/2012 du 4 juillet 2013 consid. 5.2 ; arrêt du TAF F-2718/2018 du 20 avril 2020 consid. 8.4.2). Il convient enfin de relever qu'il n'y a pas lieu d'examiner la situation du recourant sous l'angle de l'art. 30 al. 1 let. b LEtr, puisque les raisons personnelles majeures ont été écartées sur la base de l'art. 50 al. 1 let. b LEtr, de sorte qu'elles le seraient pareillement sous l'angle de l'art. 30 al. 1 let. b LEtr (ATF 137 II 345 consid. 3.2.1; arrêt du TF 2C_1062/2013 du 28 mars 2014 consid. 3.2.1 ; ATAF 2017 VII/7 consid. 5.5.1). 8.3 En conclusion, l'examen du cas en vertu des art. 50 al. 1 let. b et al. 2 LEtr ne permet pas de conclure à l'existence de raisons personnelles majeures imposant la poursuite du séjour de l'intéressé en Suisse. 9.9.1 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 9.2 En l'occurrence, le Tribunal constate que l'intéressé séjourne en Suisse depuis seize ans, soit une durée supérieure aux dix années requises (cf. ATF 144 I 266 consid. 3.8 et 3.9 ; arrêt du TF 2C_18/2019 du 9 janvier 2019 consid. 2.3). La prise en considération de cette durée doit néanmoins être fortement relativisée. En effet, ses sept premières années de résidence en Suisse se sont déroulées de manière irrégulière et, depuis l'échéance du titre de séjour de l'intéressé en date du 7 mars 2018, son séjour en Suisse ne peut plus être comptabilisé (ou seulement dans une mesure très restreinte) puisqu'il a été accompli sans autorisation, à la faveur d'une simple tolérance cantonale ou de l'effet suspensif attaché au présent recours (cf. ATF 137 II 1 consid. 4.3, ATAF 2007/45 consid. 6.3 et arrêt du TF 2C_641/2017 du 31 août 2017 consid. 3.3). Au surplus, l'intéressé a recouru à des prestations d'aide sociale afin de couvrir ses besoins, fait l'objet de poursuites et son comportement a donné lieu à deux condamnations pénales. Le recourant ne peut donc se prévaloir de la protection de sa vie privée au sens de l'art. 8 CEDH et de la jurisprudence précitée, respectivement ses intérêts privés ne prévalent pas sur les intérêts publics à son éloignement de Suisse. 10.10.1 Le Tribunal parvient à la conclusion que les conditions de la prolongation de l'autorisation de séjour du recourant de sont pas réunies. C'est ainsi à bon droit que l'autorité intimée a prononcé son renvoi de Suisse, en application de l'art. 64 al. 1 let. c LEtr. Contrairement aux arguments subsidiaires, non étayés, que fait valoir le recourant à l'appui du prononcé d'une admission provisoire en sa faveur, le dossier ne fait pas apparaître que l'exécution de son renvoi au Cameroun serait illicite (en particulier dans la mesure où il ne peut se prévaloir de l'art. 8 CEDH [cf. supra, consid. 9.2]), inexigible ou impossible au sens de l'art. 83 al. 2 à 4 LEtr. Le Cameroun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 (cf. arrêt du TAF F-2369/2019 du 21 avril 2021 consid. 10). En l'absence d'obstacles au retour de l'intéressé au Cameroun, c'est à juste titre que l'autorité intimée a ordonné l'exécution de son renvoi. 10.2 Il ressort de ce qui précède que, par sa décision du 14 juin 2019, le SEM n'a pas violé le droit fédéral, ni constaté des faits pertinents de manière inexacte ou incomplète; en outre la décision attaquée n'est pas inopportune (cf. art. 49 PA). Le recours est en conséquence rejeté. 10.3 Vu l'issue du litige,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