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F-3494/2018 vom 4. Februar 2019</w:t>
      </w:r>
    </w:p>
    <w:p>
      <w:r>
        <w:t>Bundesverwaltungsgericht, 2019-02-04, FR</w:t>
      </w:r>
    </w:p>
    <w:p>
      <w:r>
        <w:rPr>
          <w:b/>
        </w:rPr>
        <w:t xml:space="preserve">Quelle: </w:t>
      </w:r>
      <w:r>
        <w:t>https://mcp.opencaselaw.ch/entscheid/bvger_F-3494_2018</w:t>
      </w:r>
    </w:p>
    <w:p>
      <w:r>
        <w:t>FR: TAF F-3494/2018 du 4 février 2019</w:t>
      </w:r>
    </w:p>
    <w:p>
      <w:r>
        <w:t>IT: TAF F-3494/2018 del 4 febbraio 2019</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du SEM (cf. art. 33 let. d LTAF) en matière d'octroi de la naturalisation facilitée sont susceptibles de recours au Tribunal, qui statue comme autorité précédant le Tribunal fédéral (cf. art. 1 al. 2 LTAF en relation avec l'art. 83 let. b a contrario de la loi du 17 juin 2005 sur le Tribunal fédéral [LTF, RS 173.110]). 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w:t>
      </w:r>
    </w:p>
    <w:p>
      <w:r>
        <w:rPr>
          <w:b/>
        </w:rPr>
        <w:t>E. 3.1</w:t>
      </w:r>
    </w:p>
    <w:p>
      <w:r>
        <w:t>L'entrée en vigueur, le 1er janvier 2018, de la loi du 20 juin 2014 sur la nationalité suisse (LN, RS 141.0) a entraîné, conformément à son art. 49 en relation avec le ch. I de son annexe, l'abrogation de l'ancienne loi sur la nationalité du 29 septembre 1952 (aLN). En vertu de la disposition transitoire de l'art. 50 al. 1 ALN, qui consacre le principe de la non-rétroactivité, l'acquisition et la perte de la nationalité suisse sont régies par le droit en vigueur au moment où le fait déterminant s'est produit.</w:t>
      </w:r>
    </w:p>
    <w:p>
      <w:r>
        <w:rPr>
          <w:b/>
        </w:rPr>
        <w:t>E. 3.2</w:t>
      </w:r>
    </w:p>
    <w:p>
      <w:r>
        <w:t>Dans le cas d'espèce, la demande de naturalisation facilitée de A._______ a été déposée, le 16 juillet 2014, avant l'entrée en vigueur de la nouvelle loi; cette demande se fondait en outre sur la conviction de l'intéressé d'avoir été suisse durant au moins cinq ans, à compter du jour de sa naissance, le 1er janvier 2000, (cf. art. 29 aLN; voir également art. 22 aLN), jusqu'à l'enregistrement de la perte de la nationalité, le 14 août 2013. Aussi, les demandes qui, comme celle présentée par A._______ en vue de l'octroi de la naturalisation facilitée, ont été déposées avant l'entrée en vigueur, le 1er janvier 2018, de la LN, sont traitées conformément aux dispositions de l'ancien droit (matériel) jusqu'à ce qu'une décision soit rendue (cf. arrêt du TF 1C_454/2017 du 16 mai 2018 consid. 2, et jurisprudence citée et arrêt du TAF F-6326/2016 du 20 avril 2018 consid. 3).</w:t>
      </w:r>
    </w:p>
    <w:p>
      <w:r>
        <w:rPr>
          <w:b/>
        </w:rPr>
        <w:t>E. 4.1</w:t>
      </w:r>
    </w:p>
    <w:p>
      <w:r>
        <w:t>A teneur de l'art. 26 al. 1 aLN, la naturalisation facilitée est accordée à condition que le requérant : a.se soit intégré en Suisse ; b.se conforme à la législation suisse ;c.ne compromette pas la sécurité intérieure ou extérieure de la Suisse.</w:t>
      </w:r>
    </w:p>
    <w:p>
      <w:r>
        <w:rPr>
          <w:b/>
        </w:rPr>
        <w:t>E. 4.2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Droit de la nationalité et fédéralisme en Suisse, Genève - Zurich - Bâle 2008, p. 231, n° 547).</w:t>
      </w:r>
    </w:p>
    <w:p>
      <w:r>
        <w:rPr>
          <w:b/>
        </w:rPr>
        <w:t>E. 4.3</w:t>
      </w:r>
    </w:p>
    <w:p>
      <w:r>
        <w:t>Le comportement conforme à l'ordre juridique suisse visé à l'art. 26 al. 1 let. b aLN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 ou 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[ALN], Berne 2014, p. 98s, ad art. 26 aLN; cf. Céline Gutzwiller, Droit de la nationalité et fédéralisme en Suisse, Genève - Zurich - Bâle 2008, p. 236s, n° 559). Ainsi, la Confédération examine, dans le cadre habituel des demandes de naturalisations ordinaires et facilitées, s'il existe des informations au niveau fédéral qui empêchent une naturalisation sur le plan du respect de l'ordre juridique. Le Manuel sur la nationalité constitue l'ouvrage de référence regroupant toutes les bases légales fédérales (y compris les directives et les circulaires) en vigueur dans le domaine de la nationalité, la jurisprudence des tribunaux fédéraux en la matière et la pratique du SEM.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site internet du SEM https://www.sem.admin.ch/ : Publications &amp; services V. Nationalité Manuel Nationalité pour les demandes jusqu'au 31.12.2017, Chapitre 4, ch. 4.7.1 et 4.7.3 ; site consulté en décembre 2018). 4.4 Selon le Manuel sur la nationalité du SEM pour les demandes jusqu'au 31.12.2017 (cf. ch. 4.7.3.1 let. ff), les peines infligées à des mineurs constituent un obstacle à la naturalisation lorsqu'elles sont lourdes. En présence de peines moins lourdes, il convient d'évaluer la situation dans son ensemble sous l'angle de l'intégration.</w:t>
      </w:r>
    </w:p>
    <w:p>
      <w:r>
        <w:rPr>
          <w:b/>
        </w:rPr>
        <w:t>E. 4.5</w:t>
      </w:r>
    </w:p>
    <w:p>
      <w:r>
        <w:t>A teneur de l'art. 29 al. 1 aLN, l'étranger qui, pendant cinq ans au moins, a vécu dans la conviction qu'il était suisse et a été traité effectivement comme tel par une autorité communale ou cantonale peut bénéficier de la naturalisation facilitée. En règle générale, il acquiert par cette naturalisation le droit de cité du canton responsable de l'erreur ; il acquiert simultanément le droit de cité communal que détermine ce canton.</w:t>
      </w:r>
    </w:p>
    <w:p>
      <w:r>
        <w:rPr>
          <w:b/>
        </w:rPr>
        <w:t>E. 5.1</w:t>
      </w:r>
    </w:p>
    <w:p>
      <w:r>
        <w:t>Dans son arrêt du 30 juin 2017, le Tribunal a considéré que A._______ avait vécu, à tout le moins pendant plus de cinq ans (selon les conditions de l'art. 29 al. 1 aLN), dans la conviction qu'il était suisse et qu'il a été traité comme tel par les autorités du canton de Vaud. Il a par ailleurs considéré que les condamnations dont il avait fait l'objet entre 2011 et 2015 n'étaient pas suffisantes pour s'opposer à sa naturalisation facilitée au regard de l'art. 26 al. 1 let. b aLN, compte tenu en particulier de la stabilisation supposée de son comportement et des perspectives professionnelles qui paraissaient s'ouvrir à lui.</w:t>
      </w:r>
    </w:p>
    <w:p>
      <w:r>
        <w:rPr>
          <w:b/>
        </w:rPr>
        <w:t>E. 5.2</w:t>
      </w:r>
    </w:p>
    <w:p>
      <w:r>
        <w:t>Dans son arrêt du 16 mai 2018, le Tribunal fédéral a confirmé, par substitution de motifs, l'argumentation retenue par le Tribunal dans son arrêt du 30 juin 2017 s'agissant des conditions de la nationalité suisse admise par erreur au sens de l'art. 29 al. 1 let a LN. Le Tribunal fédéral a, par contre, considéré que le Tribunal avait conclu de manière prématurée que A._______ remplissait les conditions de l'art. 26 al. 1 let. a à c aLN, dès lors qu'il n'avait pas pris en compte la condamnation dont l'intéressé avait fait l'objet le 16 février 2017 par le Tribunal des mineurs.</w:t>
      </w:r>
    </w:p>
    <w:p>
      <w:r>
        <w:rPr>
          <w:b/>
        </w:rPr>
        <w:t>E. 5.3</w:t>
      </w:r>
    </w:p>
    <w:p>
      <w:r>
        <w:t>Il appartient dès lors au Tribunal d'examiner, dans le cadre de la présente procédure, si A._______ remplit les conditions d'intégration et de comportement posées par l'art. 26 al. 1 aLN à l'octroi de la naturalisation facilitée. 6.L'examen du jugement que le Tribunal des mineurs a prononcé le 16 février 2017 à l'endroit de A._______ amène le Tribunal à constater que son appréciation du respect par le recourant de l'ordre juridique, laquelle l'avait amené à considérer que celui-ci remplissait les conditions d'intégration et de comportement posées par l'art. 26 al. 1 aLN, se trouve considérablement modifiée par le nombre et la nature des délits pour lesquels il a été condamné le 16 février 2017. Il s'impose de constater ainsi que, contrairement à l'amélioration de comportement du recourant qui avait été alléguée en cours de procédure (cf. les déterminations de sa mandataire du 12 septembre 2016 et les rapports de comportement joints à cet écrit), qui avait amené le Tribunal à considérer, dans son arrêt du 30 juin 2017, que celui-ci se conformait désormais à la législation suisse, le jugement du Tribunal des mineurs du 16 février 2017 amène le Tribunal à devoir constater que le recourant s'était, en réalité, livré entre le 2 décembre 2015 et le 23 avril 2016 à une intense activité délictuelle qui l'a vu commettre, durant quatre périodes successives, de multiples infractions énumérées à la lettre HH ci-dessus. Dans les considérants de son jugement, le Tribunal des mineurs a d'ailleurs retenu que l'exécution d'une partie de la peine paraissait nécessaire pour faire prendre pleinement conscience à A._______ de la gravité de ses actes et le détourner de la commission de nouvelles infractions, qu'un sursis partiel était accordé à l'intéressé, mais qu'au vu de ses nombreux antécédents, un délai d'épreuve maximal de deux ans devait être fixé. Le Tribunal se doit de remarquer au surplus que plusieurs des infractions pénales commises par le recourant durant cette période (soit notamment vol, dommages à la propriété et violation de domicile) sont d'une gravité certaine. De plus, la répétition de ces délits sur une période prolongée manifeste l'absence totale de scrupules du recourant à s'attaquer aux biens d'autrui. Il s'impose de constater enfin que, depuis le prononcé de l'arrêt du Tribunal du 30 juin 2017, A._______ a fait l'objet, le 7 juin 2018, d'une nouvelle condamnation, par le Ministère public cantonal STRADA à Lausanne, à une peine pécuniaire de 40 jours-amende à 30 francs avec sursis pendant 3 ans et à 300 francs d'amende pour des infractions à la Loi fédérale du 3 octobre 1951 sur les stupéfiants et les substances psychotropes (Loi sur les stupéfiants, LStup, RS 812.121) commises entre le 16 et le 17 avril 2018. En conséquence, l'activité délictuelle du recourant ayant fondé sa condamnation du 16 février 2017, ainsi que la propension à la récidive que celui-ci a encore démontrée ultérieurement, amène le Tribunal à considérer, contrairement à ce qu'il avait retenu dans son arrêt du 30 juin 2017, que A._______ ne remplit pas la condition du respect de l'ordre juridique posée par l'art. 26 aLN et qu'il ne saurait, pour ce motif, prétendre à la naturalisation facilitée. 8.Il ressort de ce qui précède que la décision du 18 décembre 2015 est conforme au droit.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