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F-3467/2022 vom 29. Mai 2024</w:t>
      </w:r>
    </w:p>
    <w:p>
      <w:r>
        <w:t>Bundesverwaltungsgericht, 2024-05-29, DE</w:t>
      </w:r>
    </w:p>
    <w:p>
      <w:r>
        <w:rPr>
          <w:b/>
        </w:rPr>
        <w:t xml:space="preserve">Quelle: </w:t>
      </w:r>
      <w:r>
        <w:t>https://mcp.opencaselaw.ch/entscheid/bvger_F-3467_2022</w:t>
      </w:r>
    </w:p>
    <w:p>
      <w:r>
        <w:t>FR: TAF F-3467/2022 du 29 mai 2024</w:t>
      </w:r>
    </w:p>
    <w:p>
      <w:r>
        <w:t>IT: TAF F-3467/2022 del 29 maggio 2024</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(vgl. Art. 112 Abs.1 AIG [SR 142.20] i.V.m. 31 ff. VGG). Das Rechtsmittelverfahren richtet sich nach dem VwVG, soweit das VGG nichts anderes bestimmt (Art. 37 VGG).</w:t>
      </w:r>
    </w:p>
    <w:p>
      <w:r>
        <w:rPr>
          <w:b/>
        </w:rPr>
        <w:t>E. 1.2</w:t>
      </w:r>
    </w:p>
    <w:p>
      <w:r>
        <w:t>Der Beschwerdeführer hat am vorangegangenen Einspracheverfahren teilgenommen und ist als Gastgeber und Verfügungsadressat durch den angefochtenen Entscheid besonders berührt. Er ist zur Erhebung der Be- schwerde legitimiert (Art. 48 Abs. 1 VwVG). Obwohl der ursprünglich an- beraumte Behandlungszeitraum verstrichen ist, kann – nicht zuletzt ange- sichts der Einreichung des Rechtsmittels – auf ein fortbestehendes Rechts- schutzinteresse geschlossen werden. Auf die frist- und formgerechte Be- schwerde ist einzutreten (vgl.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Massgeblich ist grundsätzlich die Sachlage im Entscheidzeitpunkt (vgl. BVGE 2020 VII/4 E. 2.2 m.H.).</w:t>
      </w:r>
    </w:p>
    <w:p>
      <w:r>
        <w:rPr>
          <w:b/>
        </w:rPr>
        <w:t>E. 3.1</w:t>
      </w:r>
    </w:p>
    <w:p>
      <w:r>
        <w:t>Dem angefochtenen Entscheid liegt das Gesuch eines Staatsangehö- rigen aus Pakistan um Erteilung eines Visums zu Besuchszwecken in der Schweiz zugrunde. Da sich der Gesuchsteller nicht auf die EU/EFTA-Per- sonenfreizügigkeitsabkommen berufen kann und die beabsichtigte Aufent- haltsdauer 90 Tage nicht überschreitet, fällt die vorliegende Streitsache in den Anwendungsbereich der Schengen-Assoziierungsabkommen, mit de- nen die Schweiz den Schengen-Besitzstand und die dazugehörigen ge- meinschaftsrechtlichen Rechtsakte übernommen hat (BVGE 2014/1 E. 3; 2011/48 E. 3). Das AIG und dessen Ausführungsbestimmungen gelangen nur soweit zur Anwendung, als die Schengen-Assoziierungsabkommen keine abweichenden Bestimmungen enthalten (Art. 2 Abs. 4 AIG).</w:t>
      </w:r>
    </w:p>
    <w:p>
      <w:r>
        <w:t>F-3467/2022 Seite 4</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BGE 135 II 1 E. 1.1; BVGE 2009/27 E. 3 m.w.H.). Das Schengen-Recht schränkt die nationalstaatli- chen Befugnisse insoweit ein, als es einheitliche Voraussetzungen für Ein- reise und Visum aufstellt und die Mitgliedstaaten verpflichtet, die Einreise beziehungsweise das Visum zu verweigern, wenn die Voraussetzungen nicht erfüllt sind. Einen Anspruch auf Einreise beziehungsweise Visum ver- mittelt aber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(vgl. Art. 6 Abs. 1 Bst. b der Verordnung [EG] Nr. 2016/399 des Europäischen Parlaments und des Ra- tes vom 9. März 2016 über einen Gemeinschaftskodex für das Überschrei- ten der Grenzen durch Personen [Kodifizierter Text] [Schengener Grenz- kodex, SGK, ABI. L 77/1 vom 23.03.2016]; Art. 6 Abs. 1 der Verordnung über die Einreise und die Visumserteilung vom 15. August 2018 [VEV, SR 142.204]; Art. 5 Abs. 1 Bst. a AIG). Ferner benötigen sie ein Visum, sofern dieses erforderlich ist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 November 2018). Als Staatsangehöriger Pakistans unterliegt der Gesuchsteller der Visums- pflicht (vgl. Art. 8 Abs. 1 VEV i.V.m. Anhang I Verordnung [EU] 2018/1806; Art. 6 Abs. 1 Bst. b SGK).</w:t>
      </w:r>
    </w:p>
    <w:p>
      <w:r>
        <w:rPr>
          <w:b/>
        </w:rPr>
        <w:t>E. 3.4</w:t>
      </w:r>
    </w:p>
    <w:p>
      <w:r>
        <w:t>Im Weiteren müssen Drittstaatsangehörige den Zweck und die Um- stände ihres beabsichtigten Aufenthalts belegen und hierfür über ausrei- chende finanzielle Mittel verfügen sowie nicht im Schengener Informations- system (SIS) zur Einreiseverweigerung ausgeschrieben sein und keine Gefahr für die öffentliche Ordnung und Gesundheit, die innere Sicherheit oder die internationalen Beziehungen eines Mitgliedstaats darstellen (vgl. Art. 3 Abs. 1 VEV i.V.m. Art. 6 Abs. 1 Bst. c ff. SGK; Art. 14 Abs. 1 und Art.</w:t>
      </w:r>
    </w:p>
    <w:p>
      <w:r>
        <w:t>F-3467/2022 Seite 5 21 Abs. 1 der Verordnung [EG] Nr. 810/2009 des Europäischen Parlaments und des Rates vom 13. Juli 2009 über einen Visakodex der Gemeinschaft [nachfolgend: Visakodex, VK, ABl. L 243 vom 15. September 2009]). Schliesslich müssen Drittstaatsangehörige für ihre fristgerechte Wieder- ausreise Gewähr bieten (Art. 5 Abs. 2 AIG). Wenn sie nicht bereit sind, das Hoheitsgebiet des Schengen-Raums fristgerecht wieder zu verlassen, ist eine Gefahr für die öffentliche Ordnung im Sinne von Art. 6 Abs. 1 Bst. e SGK anzunehmen (BVGE 2014/1 E. 4.3 m.H). Die Behörden haben daher die Gefahr einer nicht fristgerechten Ausreise zu prüfen (Art. 14 Abs. 1 Bst. d und Art. 21 Abs. 1 VK). Bestehen diesbezüglich Zweifel, ist das Visum zu verweigern (Art. 32 Abs. 1 Bst. b VK). Bei der Beurteilung, ob die Voraus- setzungen für die Visumerteilung erfüllt sind, kommt den Behörden ein wei- ter Beurteilungsspielraum zu (BVGE 2014/1 E. 4.1.5).</w:t>
      </w:r>
    </w:p>
    <w:p>
      <w:r>
        <w:rPr>
          <w:b/>
        </w:rPr>
        <w:t>E. 3.5</w:t>
      </w:r>
    </w:p>
    <w:p>
      <w:r>
        <w:t>Sind – abgesehen vom Visum selbst – die vorerwähnten Einreisevor- aussetzungen nicht erfüllt, kann in Ausnahmefällen ein Visum mit räumlich beschränkter Gültigkeit erteilt werden, das nur für das Hoheitsgebiet des betreffenden Mitgliedstaats gilt. Von dieser Möglichkeit kann der in Frage stehende Mitgliedstaat u.a. Gebrauch machen, wenn er es aus humanitä- ren Gründen, aus solchen des nationalen Interesses oder aufgrund inter- nationaler Verpflichtungen für erforderlich hält (vgl. Art. 5 Abs. 3 AIG; Art. 3 Abs. 4 VEV; Art. 25 Abs. 1 Bst. a VK; Art. 6 Abs. 5 Bst. c SGK).</w:t>
      </w:r>
    </w:p>
    <w:p>
      <w:r>
        <w:rPr>
          <w:b/>
        </w:rPr>
        <w:t>E. 4</w:t>
      </w:r>
    </w:p>
    <w:p>
      <w:r>
        <w:t>Strittig ist, ob der Gesuchsteller Gewähr für eine fristgerechte Wiederaus- reise aus dem Schengen-Raum bietet.</w:t>
      </w:r>
    </w:p>
    <w:p>
      <w:r>
        <w:rPr>
          <w:b/>
        </w:rPr>
        <w:t>E. 4.1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w:t>
      </w:r>
    </w:p>
    <w:p>
      <w:r>
        <w:rPr>
          <w:b/>
        </w:rPr>
        <w:t>E. 4.2</w:t>
      </w:r>
    </w:p>
    <w:p>
      <w:r>
        <w:t>Betreffend die allgemeinen Verhältnisse in Pakistan ist festzuhalten, dass die Konjunktur im Land durch die unsichere politische Situation, sozi- ale Spannungen, schwierige Rahmenbedingungen für ausländische</w:t>
      </w:r>
    </w:p>
    <w:p>
      <w:r>
        <w:t>F-3467/2022 Seite 6 Investoren und die schweren Überschwemmungen im Sommer 2022 deut- lich verlangsamt wurde. Es bestehen weiterhin umfassende strukturelle Wirtschaftsprobleme. Die Staatsschulden steigen, die Währung verliert an Wert, die Inflationsrate ist hoch und es mangelt an ausländischen Wäh- rungsreserven. Rund 40 Prozent der staatlichen Einnahmen werden für die Tilgung von Krediten benötigt. Weitere Schwierigkeiten betreffen das starke Bevölkerungswachstum und die Aufnahme von Flüchtlingen aus Af- ghanistan (vgl. &lt; https://www.bmz.de &gt; Länder &gt; Pakistan &gt;, abgerufen am 8.03.2024). Auf dem aktuellen Index der menschlichen Entwicklung, der durch das Entwicklungsprogramm der Vereinten Nationen erstellt wird, be- legt Pakistan lediglich Platz 161 von 191 gelisteten Staaten (vgl. &lt; https://hdr.undp.org &gt; Data Center ˃ Country Insights &gt; Pakistan, abgerufen am 8.03.2024). Vor diesem Hintergrund ist das Risiko einer nicht fristgerechten Wiederausreise von Gesuchstellenden aus Pakistan allge- mein als hoch einzuschätzen (vgl. Urteile des BVGer F-1004/2022 vom 5. Februar 2024; F-4076/2022 vom 16. Oktober 2023 E. 6.3).</w:t>
      </w:r>
    </w:p>
    <w:p>
      <w:r>
        <w:rPr>
          <w:b/>
        </w:rPr>
        <w:t>E. 4.3</w:t>
      </w:r>
    </w:p>
    <w:p>
      <w:r>
        <w:t>Nebst den allgemeinen Verhältnissen im Herkunftsland sind in die Ri- sikoanalyse auch die Umstände des konkreten Einzelfalls, insbesondere die berufliche, gesellschaftliche und familiäre Verantwortung der gesuch- stellenden Person im Herkunftsland einzubeziehen. Bei Personen, die in ihrer Heimat keine besonderen Verpflichtungen wahrnehmen oder die sich in wirtschaftlich ungünstigen Verhältnissen befinden, muss das Risiko ei- nes ausländerrechtlich nicht regelkonformen Verhaltens nach einer bewil- ligten Einreise als vergleichsweise hoch eingeschätzt werden (vgl. BVGE 2019 VII/1 E. 7.2; 2014/1 E. 6.3.1; 2009/27 E. 8)</w:t>
      </w:r>
    </w:p>
    <w:p>
      <w:r>
        <w:rPr>
          <w:b/>
        </w:rPr>
        <w:t>E. 4.4</w:t>
      </w:r>
    </w:p>
    <w:p>
      <w:r>
        <w:t>Beim Gesuchsteller handelt es um einen 55-jährigen Ehemann und Va- ter von drei erwachsenen Söhnen im Alter von 25 bis 34 Jahren (vgl. SEM- act., S. 78). Aus beruflicher Sicht ist er Inhaber des Immobilienunterneh- mens «X._______», welches in mehreren pakistanischen Städten tätig ist (vgl. SEM-act., S. 169; BVGer-act. 8, Beilagen). Des Weiteren ist er Vor- standsmitglied der Handels- und Industriekammer von M._______ (vgl. SEM-act. 17 f.). In Bezug auf seine finanziellen Verhältnisse ist seiner Steu- ererklärung für eine bis Ende Juni 2023 dauernde einjährige Steuerperiode ein Einkommen von Fr. 17’850.– (Wechselkurs jeweils am 26. März 2024) sowie ein Vermögen von Fr. 721’367.– (BVGer-act. 8, Beilagen) zu entneh- men. Aktenkundig ist auch ein Kontoauszug vom 25 März 2022 mit einem Vermögen von Fr. 35′456 (SEM-act., S. 158 ff) und ein Nachweis eines neulich erworbenen Grundstücks (vgl. BVGer-act. 8, Beilagen). Darüber hinaus führt der Gesuchsteller aus, in N._______ein Haus, weitere</w:t>
      </w:r>
    </w:p>
    <w:p>
      <w:r>
        <w:t>F-3467/2022 Seite 7 Grundstücke sowie ein neues SUV-Fahrzeug zu besitzen (vgl. SEM-act., S. 169 f.). Demnach kann festgehalten werden, dass die sozio-ökonomi- schen Verhältnisse des Gesuchstellers nicht für ein erhöhtes Migrationsri- siko sprechen. Zu beachten ist aber, dass seine Söhne mittlerweile alle bereits im Berufsleben tätig sind oder kurz davor stehen, dies zu tun, wodurch der Gesuchsteller nicht mehr für sie aufkommen muss. Auch kann davon ausgegangen werden, dass sein Unternehmen, bei einem Verbleib in der Schweiz, von seinen zwei ebenfalls im Immobiliengeschäft tätigen Söhnen fortgeführt werden könnte (vgl. SEM-act., S. 169).</w:t>
      </w:r>
    </w:p>
    <w:p>
      <w:r>
        <w:rPr>
          <w:b/>
        </w:rPr>
        <w:t>E. 4.5</w:t>
      </w:r>
    </w:p>
    <w:p>
      <w:r>
        <w:t>Zu würdigen ist sodann der vom Gesuchsteller angegebene Reise- zweck, nämlich in der Schweiz touristische Attraktionen und Freunde be- suchen zu können (vgl. SEM-act., S. 186). Dazu reichte er drei Einladungs- schreiben zu den Akten, wovon eines vom Beschwerdeführer sowie von weiteren drei Personen (vgl. SEM-act., S. 126 ff.). Darin wird vorgebracht, der Gesuchsteller habe sie in Pakistan im Februar 2020 freundschaftlich empfangen und sie möchten sich dafür nun bedanken. Die erwähnte Reise in Pakistan ist durch eingereichte Fotographien aktenkundig dokumentiert (vgl. SEM-act., S. 119). Demnach erscheint der angegebene Reisezweck auch unter Berücksichtigung des nur für eine kurze Zeit geplanten Aufent- halts als nachvollziehbar. Unklar bleibt jedoch, woher der Beschwerdefüh- rer den Gesuchsteller kennt. Dazu führen sie nur aus, es handle sich um einen «sehr guten» und «langjährigen» Freund (vgl. SEM-act., S. 168, 202; BVGer-act. 11). An den guten Absichten der gastgebenden Personen ist ebenfalls nicht zu zweifeln. Zu bedenken ist aber, dass der Beschwerde- führer in seiner Eigenschaft als Gastgeber zwar mit rechtlich verbindlicher Wirkung für gewisse finanzielle Risiken Garantie leisten kann, mangels rechtlicher und faktischer Durchsetzbarkeit aber nicht für ein bestimmtes Tun oder Unterlassen seines Gastes einstehen kann (vgl. BVGE 2014/1 E. 6.3.7; 2009/27 E. 9). Seine Aussage, wenn überhaupt verfahrensrelevant, er habe bereits mehrere Personen zu sich in die Schweiz eingeladen, die jeweils wieder fristgerecht ausgereist seien, bleibt unbelegt (vgl. BVGer- act. 8). Zu berücksichtigen ist auch, dass der Gesuchsteller neben den ge- rade erwähnten Personen noch über weitere (inklusive familiäre) Bekannt- schaften innerhalb des Schengen-Raums verfügt, die ihn dazu verleiten könnten, nach seinem geplanten Aufenthalt hierzulande nicht wieder aus- zureisen (vgl. SEM-act., S. 6, 25; BVGer-act. 11, Beilagen).</w:t>
      </w:r>
    </w:p>
    <w:p>
      <w:r>
        <w:rPr>
          <w:b/>
        </w:rPr>
        <w:t>E. 4.6</w:t>
      </w:r>
    </w:p>
    <w:p>
      <w:r>
        <w:t>Schliesslich ist auf die früheren Anträge des Gesuchstellers zur Aus- stellung von Schengen-Visa näher einzugehen. In der Gesamtwürdigung der Beweis- und Sachlage sind die Einreiseablehnungen zu</w:t>
      </w:r>
    </w:p>
    <w:p>
      <w:r>
        <w:t>F-3467/2022 Seite 8 berücksichtigen. Nichtsdestoweniger kann sich die Beurteilung des vorlie- genden Antrags nicht ausschliesslich auf die Abweisung früherer Gesuche stützen, sondern muss auf Grundlage aller verfügbaren Informationen ge- troffen werden (vgl. Art. 21 Abs. 9 VK; Urteile des BVGer F-2086/2020 vom 17. Mai 2021 E. 6.5; F-7224/2016 vom 10. Oktober 2017 E. 7.4; C- 6328/2015 vom 11. Mai 2016 E. 7.4; Urteil des EuGHs vom 19. Dezember 2013 C-84/12 Ezatollah Rahmanian Koushkaki/Bundesrepublik Deutsch- land, Slg 2013 I-862, Rn. 47). Im Jahr 2016 unterbreitete der Gesuchsteller zusammen mit seiner Ehe- frau den schweizerischen Behörden ein erstes Visa-Gesuch (vgl. SEM- act., S. 57 ff., 92 ff.). Dieses lehnte die Vorinstanz wegen der nicht gesi- cherten Gewähr der Wiederausreise ab (vgl. SEM-act, S. 112 ff.). Im Jahr 2018 stellte er bei den norwegischen Behörden ein Gesuch (vgl. SEM-act., S. 117). Gemäss Aktennotiz der Botschaft wurde dieses Gesuch wegen «Gefährdung der Sicherheit» abgelehnt (vgl. SEM-act., S. 189). Wie die Vorinstanz in ihrer Stellungnahme vom 12. Dezember 2023 ausführt, kann diese Information zum jetzigen Zeitpunkt dem Visa-Informationssystem (VIS) nicht mehr entnommen werden. Der Gesuchsteller führt dazu ledig- lich aus, es habe sich hierbei um einen Gruppen-Antrag der Handels- und Industriekammer von M._______ gehandelt, welcher ganzheitlich abge- lehnt worden war (vgl. BVGer-act. 8, Beilagen). Im Jahr 2022 reichte er dann ein Gesuch bei den deutschen Behörden ein (vgl. BVGer-act. 9, Bei- lage). Dazu reichte er auf Nachfrage einen Ablehnungsbescheid vom 5. Juni 2023 zu den Akten (vgl. BVGer-act. 11, Beilagen). Daraus ist zu ent- nehmen, dass das Gesuch nach persönlicher Anhörung des Gesuchstel- lers wegen nicht glaubhafter zur Verfügung gestellten Informationen sowie aufgrund von Zweifeln an den entsprechenden Belegen und dem Willen zur Wiederausreise abgelehnt wurde. Der Gesuchsteller führte diesbezüg- lich aus, er habe damals mit seiner Ehefrau der Hochzeit einer Grossnichte in Deutschland beiwohnen wollen. Im jetzigen Verfahren beabsichtige er allerdings alleine in die Schweiz zu reisen (vgl. BVGer-act. 11, Beilagen).</w:t>
      </w:r>
    </w:p>
    <w:p>
      <w:r>
        <w:rPr>
          <w:b/>
        </w:rPr>
        <w:t>E. 4.7</w:t>
      </w:r>
    </w:p>
    <w:p>
      <w:r>
        <w:t>Zusammenfassend kann festgehalten werden, dass der Gesuchsteller relativ günstige sozio-ökonomische Voraussetzungen aufweist und auch sein angegebener Reisezweck als nachvollziehbar erscheint. Das Risiko einer nicht fristgerechten Wiederausreise bleibt jedoch unter Berücksichti- gung der äusserst schwierigen wirtschaftlichen und politischen Lage sei- nes Heimatlandes sehr hoch. Darüber hinaus fällt der Umstand, dass seine früheren Gesuche dreimal von verschiedenen Schengen-Staaten abge- lehnt wurden, klar zu seinen Ungunsten aus, zumal dies unter Angabe teils</w:t>
      </w:r>
    </w:p>
    <w:p>
      <w:r>
        <w:t>F-3467/2022 Seite 9 schwerwiegender Gründe erfolgte und die deutschen Behörden zuvor ihn sogar persönlich anhörten (siehe oben E. 4.6). Die Gewähr der Wiederaus- reise des Gesuchstellers erscheint nach dem Gesagten als nicht ausrei- chend. Der an sich verständliche Wunsch des Gesuchstellers, in der Schweiz touristische Attraktionen und Freunde zu besuchen, hat folglich in den Hintergrund zu treten. Die Schweiz muss bei der Anwendung des Schengen-Rechts auch die Interessen der übrigen Schengen-Staaten mit- tragen. Dass Länder ausserhalb des Schengen-Raums dem Gesuchsteller Visa ausstellten (vgl. SEM-act., S. 27 ff.), ist unter diesen Voraussetzungen nicht ausschlaggebend.</w:t>
      </w:r>
    </w:p>
    <w:p>
      <w:r>
        <w:rPr>
          <w:b/>
        </w:rPr>
        <w:t>E. 5</w:t>
      </w:r>
    </w:p>
    <w:p>
      <w:r>
        <w:t>Es sind auch keine humanitären Gründe, nationale Interessen oder inter- nationale Verpflichtungen ersichtlich, welche die Ausstellung eines Visums mit räumlich beschränkter Gültigkeit gebieten würden (vgl. Art. 5 Abs. 3 AIG; Art. 3 Abs. 4 VEV; Art. 25 Abs. 1 Bst. a VK; Art. 6 Abs. 5 Bst. c SGK).</w:t>
      </w:r>
    </w:p>
    <w:p>
      <w:r>
        <w:rPr>
          <w:b/>
        </w:rPr>
        <w:t>E. 6</w:t>
      </w:r>
    </w:p>
    <w:p>
      <w:r>
        <w:t>Die angefochtene Verfügung erweist sich somit im Lichte von Art. 49 VwVG als rechtmässig. Aufgrund der nicht gesicherten Wiederausreise hat die Vorinstanz das Ausstellen eines Schengen-Visums zu Recht verweigert. Die Beschwerde ist abzuweisen.</w:t>
      </w:r>
    </w:p>
    <w:p>
      <w:r>
        <w:rPr>
          <w:b/>
        </w:rPr>
        <w:t>E. 7</w:t>
      </w:r>
    </w:p>
    <w:p>
      <w:r>
        <w:t>Bei diesem Ausgang des Verfahrens sind die Kosten dem Beschwerdefüh- rer aufzuerlegen und auf Fr. 800.– festzusetzen (vgl. Art. 63 Abs. 1 VwVG i.V.m. Art. 1 ff. des Reglements vom 21. Februar 2008 über die Kosten und Entschädigungen vor dem Bundesverwaltungsgericht [VGKE, SR 173.320.2]). Diese sind durch den geleisteten Kostenvorschuss gedeckt. (Dispositiv nächste Seite)</w:t>
      </w:r>
    </w:p>
    <w:p>
      <w:r>
        <w:t>F-3467/2022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