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F-3449/2021 vom 4. August 2021</w:t>
      </w:r>
    </w:p>
    <w:p>
      <w:r>
        <w:t>Bundesverwaltungsgericht, 2021-08-04, FR</w:t>
      </w:r>
    </w:p>
    <w:p>
      <w:r>
        <w:rPr>
          <w:b/>
        </w:rPr>
        <w:t xml:space="preserve">Quelle: </w:t>
      </w:r>
      <w:r>
        <w:t>https://mcp.opencaselaw.ch/entscheid/bvger_F-3449_2021</w:t>
      </w:r>
    </w:p>
    <w:p>
      <w:r>
        <w:t>FR: TAF F-3449/2021 du 4 août 2021</w:t>
      </w:r>
    </w:p>
    <w:p>
      <w:r>
        <w:t>IT: TAF F-3449/2021 del 4 agosto 2021</w:t>
      </w:r>
    </w:p>
    <w:p>
      <w:pPr>
        <w:pStyle w:val="Heading2"/>
      </w:pPr>
      <w:r>
        <w:t>Regeste</w:t>
      </w:r>
    </w:p>
    <w:p>
      <w:r>
        <w:t>Asile (non-entrée en matière / procédure Dublin) et renvoi</w:t>
      </w:r>
    </w:p>
    <w:p>
      <w:pPr>
        <w:pStyle w:val="Heading2"/>
      </w:pPr>
      <w:r>
        <w:t>Erwägungen</w:t>
      </w:r>
    </w:p>
    <w:p>
      <w:r>
        <w:rPr>
          <w:b/>
        </w:rPr>
        <w:t>E. 7</w:t>
      </w:r>
    </w:p>
    <w:p>
      <w:r>
        <w:t>En conséquence, c'est à bon droit que le SEM n'est pas entré en matière sur la demande d'asile du recourant, en application de l'art. 31a al. 1 let. b LAsi, et qu'il a prononcé son transfert de Suisse vers Chypre, en application de l'art. 44 LAsi, aucune exception à la règle générale du renvoi n'étant réalisée (art. 32 OA 1).</w:t>
      </w:r>
    </w:p>
    <w:p>
      <w:r>
        <w:rPr>
          <w:b/>
        </w:rPr>
        <w:t>E. 8</w:t>
      </w:r>
    </w:p>
    <w:p>
      <w:r>
        <w:t>Partant, le recours est rejeté. En outre, dans la mesure où il a été immédiatement statué sur le fond, la requête formulée dans le mémoire de recours tendant à la dispense du versement d'une avance de frais est devenue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