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F-3447/2024 vom 17. Juli 2024</w:t>
      </w:r>
    </w:p>
    <w:p>
      <w:r>
        <w:t>Bundesverwaltungsgericht, 2024-07-17, FR</w:t>
      </w:r>
    </w:p>
    <w:p>
      <w:r>
        <w:rPr>
          <w:b/>
        </w:rPr>
        <w:t xml:space="preserve">Quelle: </w:t>
      </w:r>
      <w:r>
        <w:t>https://mcp.opencaselaw.ch/entscheid/bvger_F-3447_2024</w:t>
      </w:r>
    </w:p>
    <w:p>
      <w:r>
        <w:t>FR: TAF F-3447/2024 du 17 juillet 2024</w:t>
      </w:r>
    </w:p>
    <w:p>
      <w:r>
        <w:t>IT: TAF F-3447/2024 del 17 luglio 2024</w:t>
      </w:r>
    </w:p>
    <w:p>
      <w:pPr>
        <w:pStyle w:val="Heading2"/>
      </w:pPr>
      <w:r>
        <w:t>Regeste</w:t>
      </w:r>
    </w:p>
    <w:p>
      <w:r>
        <w:t>Asile (non-entrée en matière) et renvoi (réexamen)</w:t>
      </w:r>
    </w:p>
    <w:p>
      <w:pPr>
        <w:pStyle w:val="Heading2"/>
      </w:pPr>
      <w:r>
        <w:t>Erwägungen</w:t>
      </w:r>
    </w:p>
    <w:p>
      <w:r>
        <w:rPr>
          <w:b/>
        </w:rPr>
        <w:t>E. 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les recourants ont qualité pour recourir et que le recours a été présenté dans la forme et le délai prescrits. Celui-ci est dès lors recevable (art. 48 al. 1 et 52 al. 1 PA [RS 172.021], applicables par renvoi de l’art. 37 LTAF, et art. 108 al. 6 LAsi).</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2.2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se fonde de manière plausible sur l'écoulement du délai de transfert de six mois au sens de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w:t>
      </w:r>
    </w:p>
    <w:p>
      <w:r>
        <w:t>F-3447/2024 Page 4 de pays tiers ou un apatride [refonte ; JO L 180 du 29 juin 2013 p. 31 ss]). C’est donc à juste titre que le SEM est entré en matière sur la requête.</w:t>
      </w:r>
    </w:p>
    <w:p>
      <w:r>
        <w:rPr>
          <w:b/>
        </w:rPr>
        <w:t>E. 3.1</w:t>
      </w:r>
    </w:p>
    <w:p>
      <w:r>
        <w:t>Dans la mesure où les normes réglementaires régissant les délais applicables à la procédure de transfert (cf. art. 29 par. 1 et 2 RD III, en relation avec l'art. 42 RD III relatif au calcul de ces délais) sont directement applicables ("self-executing"), les recourants peuvent s'en prévaloir dans le cadre de la présente procédure (cf. ATAF 2015/19 consid. 4, voir également arrêt du TAF F-1437/2022 précité consid. 3.1).</w:t>
      </w:r>
    </w:p>
    <w:p>
      <w:r>
        <w:rPr>
          <w:b/>
        </w:rPr>
        <w:t>E. 3.2</w:t>
      </w:r>
    </w:p>
    <w:p>
      <w:r>
        <w:t>Aux termes de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(au sens de l'art. 29 par. 1 RD III) peut être porté à un an au maximum s’il n’a pas pu être procédé au transfert en raison d’un emprisonnement de la personne concernée ou à dix-huit mois au maximum si la personne concernée prend la fuite (phrase 2).</w:t>
      </w:r>
    </w:p>
    <w:p>
      <w:r>
        <w:rPr>
          <w:b/>
        </w:rPr>
        <w:t>E. 3.3</w:t>
      </w:r>
    </w:p>
    <w:p>
      <w:r>
        <w:t>Selon la jurisprudence, il y a fuite au sens de l’art. 29 par. 2 par. 2 RD III lorsque le requérant, par son comportement, compromet l'exécution de son transfert par l'Etat concerné, malgré le respect par celui-ci de son devoir de diligence (sur le sens et le but de la réglementation prévue à l'art. 29 par. 2 RD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F-1437/2022 précité consid. 3.3 et F-485/2021 précité consid. 5.1.2, et la jurisprudence citée).</w:t>
      </w:r>
    </w:p>
    <w:p>
      <w:r>
        <w:t>F-3447/2024 Page 5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état au 1.2.2014, ad art. 29, point K12; cf. notamment les arrêts du TAF E-5008/2021 du 18 janvier 2022 consid. 5.3, F-4287/2021 du 7 octobre 2021 consid. IV, F-2239/2021 du 10 mai 2021 consid. IV, E-1366/2019 du 29 avril 2019 consid. 6.3 et E-4595/2016 du 12 décembre 2016 consid. 5.3) ; selon la jurisprudence, une absence de quelques jours suffit (cf. arrêt du TAF E-5008/2021 précité consid. 5.3, et la jurisprudence citée). En revanche, la prolongation du délai de transfert ne peut pas être demandée pour d'autres motifs que ceux prévus par l'art. 29 par. 2 par. 2 RD III (fuite ou emprisonnement), tels par exemple la survenance au cours du délai de transfert d'une pathologie grave de nature à faire obstacle à l'exécution du transfert (cf. FILZWIESER/SPRUNG, op. cit., loc. cit.; cf. arrêt du TAF E-4595/2016 précité consid. 5.3).</w:t>
      </w:r>
    </w:p>
    <w:p>
      <w:r>
        <w:rPr>
          <w:b/>
        </w:rPr>
        <w:t>E. 4.1</w:t>
      </w:r>
    </w:p>
    <w:p>
      <w:r>
        <w:t>Dans la décision querellée, le SEM a relevé que le transfert de la famille en cause, prévu le 5 mars 2024, avait dû être annulé car l’intéressée s’était fait hospitaliser sur une base volontaire. Or la recourante n’avait jamais dû être hospitalisée depuis son arrivée en Suisse et avait toujours été traitée en ambulatoire. De plus, la sortie de l’hôpital coïncidait avec la date d’échéance du délai Dublin, ce qui permettait de conclure que les recourants avaient eu connaissance de cette date. Finalement, il ressortait des actes au dossier que les recourants avait indiqué devant les autorités cantonales qu’ils s’opposeraient à leur transfert. Compte tenu de l’ensemble de ces circonstances, il y avait lieu de conclure qu’il existait un lien de causalité entre la fin du délai Dublin et l’hospitalisation volontaire de la recourante. Par conséquent, le SEM a considéré que cette dernière avait pris la fuite au sens de l’art. 29 par. 2 RD III, ce qui l’habilitait à prolonger le délai de transfert à dix-huit mois pour l’ensemble des membres de la famille.</w:t>
      </w:r>
    </w:p>
    <w:p>
      <w:r>
        <w:rPr>
          <w:b/>
        </w:rPr>
        <w:t>E. 4.2</w:t>
      </w:r>
    </w:p>
    <w:p>
      <w:r>
        <w:t>Pour leur part, les recourants ont fait valoir que la Suisse était devenue l'Etat responsable pour le traitement de leur demande d'asile suite à</w:t>
      </w:r>
    </w:p>
    <w:p>
      <w:r>
        <w:t>F-3447/2024 Page 6 l'écoulement du délai de transfert de six mois prévu à l'art. 29 par. 1 RD III. Selon eux, le SEM avait fait une application erronée de l’art. 29 par. 2 par. 2 RD III en retenant que l’intéressée avait disparu pour se soustraire à l'exécution de son transfert. En effet, son comportement ne pouvait être assimilé à une fuite au sens de la disposition précitée, si bien qu’il convenait de reprocher au SEM un établissement inexact et incomplet de l’état de fait pertinent. Cela valait d’autant plus que le SEM retenait à tort que l’intéressée ne s’était faite hospitaliser qu’à une reprise, de surcroît en ayant eu connaissance de la date du transfert en Croatie. Or, il ressortait du dossier que l’intéressée avait été hospitalisée à plusieurs reprises, notamment suite à une tentative de suicide médicamenteuse. En outre, les recourants ont souligné que la date fixée par les autorités cantonales pour l’exécution de leur transfert vers la Croatie ne leur avait pas été communiquée. Dans ce contexte, ils s’étaient toujours tenus à disposition desdites autorités qui avaient constamment eu connaissance de leur lieu de séjour (pce TAF 1).</w:t>
      </w:r>
    </w:p>
    <w:p>
      <w:r>
        <w:rPr>
          <w:b/>
        </w:rPr>
        <w:t>E. 5.1</w:t>
      </w:r>
    </w:p>
    <w:p>
      <w:r>
        <w:t>Il ressort de la documentation médicale versée en cause ce qui suit.</w:t>
      </w:r>
    </w:p>
    <w:p>
      <w:r>
        <w:rPr>
          <w:b/>
        </w:rPr>
        <w:t>E. 5.1.1</w:t>
      </w:r>
    </w:p>
    <w:p>
      <w:r>
        <w:t>Dans un rapport psychiatrique du 13 mars 2024, il est indiqué que la recourante a été hospitalisée une première fois du 30 janvier 2024 au 21 février 2024 au Centre de soins hospitaliers du (…), étant précisé qu’il s’agissait d’une hospitalisation dite en mode volontaire, suite à une tentative de suicide médicamenteuse (pce TAF 1 annexe 6). La patiente avait perdu connaissance après le tentamen et s’était réveillée au Centre de soins hospitaliers du (…). Il est fait part d’un trouble dépressif récurrent (F.33.2) et d’un état de stress post-traumatique (F.43.1). Ce dernier diagnostic était lié au tremblement de terre en Turquie l’année précédente suite auquel la patiente serait restée dans les ruines pendant une journée. Selon les déclarations de cette dernière, elle avait déjà tenté de mettre fin à ses jours en se coupant les veines quelques jours auparavant ; toutefois ses voisins l’en avaient empêchée en la voyant et en lui enlevant la lame ; par le passé, elle aurait déjà fait plusieurs tentatives de suicide. Lors de l’admission, les médecins traitants ont constaté une thymie basse avec des idées suicidaires et des troubles du sommeil causés notamment par des conflits au sein du couple, l’état de santé du fils et l’incertitude face à l’avenir de la famille en Suisse. En cours d’hospitalisation, l’intéressée aurait également appris que la mère de son cousin s’était suicidée, ce qui l’avait beaucoup affectée et nécessité des mesures de soutien particulières. Par la suite, l’état clinique de la patiente s’était amélioré</w:t>
      </w:r>
    </w:p>
    <w:p>
      <w:r>
        <w:t>F-3447/2024 Page 7 progressivement. Sa sortie avait pu être organisée, dans la mesure où l’intéressée l’avait demandé et que les idées suicidaires avaient disparu.</w:t>
      </w:r>
    </w:p>
    <w:p>
      <w:r>
        <w:rPr>
          <w:b/>
        </w:rPr>
        <w:t>E. 5.1.2</w:t>
      </w:r>
    </w:p>
    <w:p>
      <w:r>
        <w:t>Dans un rapport médical du 22 mai 2024 (pce TAF 1 annexe 2), il est relevé que l’intéressé a été hospitalisée une deuxième fois en mode volontaire du 27 février 2024 au 8 avril 2024 pour mise à l’abri d’idées suicidaires et réadaptation de la thérapie médicamenteuse dans le cadre d’une crise aigüe. La patiente présentait une exacerbation de ses angoisses qui se manifestait par des attaques de paniques, des trémors généralisés et une faiblesse musculaire. Durant son hospitalisation, elle a mentionné des cauchemars incessants et des idées suicidaires passives et latentes qui devenaient plus intenses lors d’un paroxysme anxieux. Il est fait part d’un trouble dépressif récurrent, épisode actuel moyen (F.33.1), d’un état de stress post-traumatique (F43.1), d’une réaction aiguë à un facteur de stress (la patiente aurait été victime de violences verbales et physiques de son mari pendant des années). Sa sortie a pu être organisée en l’absence d’idées noires et suicidaires.</w:t>
      </w:r>
    </w:p>
    <w:p>
      <w:r>
        <w:rPr>
          <w:b/>
        </w:rPr>
        <w:t>E. 5.1.3</w:t>
      </w:r>
    </w:p>
    <w:p>
      <w:r>
        <w:t>Dans un autre rapport, également daté du 22 mai 2024 (pce TAF 1 annexe 3), il est indiqué que la recourante a derechef été hospitalisée du 16 au 26 avril 2024 pour trouble dépressif récurrent (F.33.1) et mise à l’abri d’idéation suicidaire. Les médecins traitants ont fait part d’une baisse de la thymie avec des troubles du sommeil sous forme d’un sommeil léger et peu réparateur, accompagné d’un état d’épuisement général, et d’un trouble de l’appétit.</w:t>
      </w:r>
    </w:p>
    <w:p>
      <w:r>
        <w:rPr>
          <w:b/>
        </w:rPr>
        <w:t>E. 5.1.4</w:t>
      </w:r>
    </w:p>
    <w:p>
      <w:r>
        <w:t>En parallèle, les recourants ont produit un courrier du 4 mars 2024 établi par la Dre D._______, spécialiste en psychiatrie, à l’attention du SEM (pce TAF 1 annexe 7). Dans ce document, la prénommée a expliqué ce que signifiait en terme médical une hospitalisation volontaire, en comparaison avec une hospitalisation involontaire. Ainsi, une hospitalisation volontaire était toujours décidée par un médecin qui avait le choix d’hospitaliser ou non la personne sur un mode volontaire ou non volontaire. Dans ce dernier cas, il s’agissait d’une mesure de privation de liberté à des fins d’assistance, plus particulièrement d’une mesure de contrainte et exceptionnelle, représentant une atteinte aux droits fondamentaux de la personne concernée. A contrario, pour une hospitalisation volontaire, le médecin conseillait au patient de se faire hospitaliser mais ce dernier conservait le choix d’accepter ou non. Il ne s’agissait en aucun cas d’une demande émanant du patient lui-même. La Dre D._______ a souligné que seules les situations cliniques à haut-risque étaient aujourd’hui hospitalisées – ne serait-ce que par manque de lits</w:t>
      </w:r>
    </w:p>
    <w:p>
      <w:r>
        <w:t>F-3447/2024 Page 8 disponibles – si bien que le SEM utilisait de manière erronée la terminologie d’ « hospitalisation volontaire» pour appuyer ses propos.</w:t>
      </w:r>
    </w:p>
    <w:p>
      <w:r>
        <w:rPr>
          <w:b/>
        </w:rPr>
        <w:t>E. 5.2</w:t>
      </w:r>
    </w:p>
    <w:p>
      <w:r>
        <w:t>Compte tenu de ce qui précède, il y a lieu de retenir que la recourante a été hospitalisée à deux reprises entre le prononcé de l’arrêt F-4949/2023 du 4 octobre 2023 (confirmant la décision de transfert Dublin rendue par le SEM à l’encontre de la famille) et l’échéance – au 4 avril 2024 – du délai de transfert de six mois prévu à l’art. 29 par. 1 RD III (pce TAF 1). Par la suite, une troisième hospitalisation a encore eu lieu. La recourante a été hospitalisée durant des périodes relativement longues de 3 semaines (du 30 janvier 2024 au 21 février 2024), de 5 semaines (du 27 février 2024 au</w:t>
      </w:r>
    </w:p>
    <w:p>
      <w:r>
        <w:rPr>
          <w:b/>
        </w:rPr>
        <w:t>E. 5.3</w:t>
      </w:r>
    </w:p>
    <w:p>
      <w:r>
        <w:t>Sur le vu du courrier du 4 mars 2024 établi par la Dre D._______ à l’attention du SEM (cf. consid. 4.4 in fine), le Tribunal ne décèle pas de motifs suffisamment pertinents pour douter de la nécessité des trois hospitalisations susmentionnées. Bien plutôt, il y a lieu de retenir que les dégradations de l’état de santé de la recourante étaient à ce point sérieuses qu’elles ont nécessité à chaque fois les hospitalisations effectuées au Centre de Soins Hospitaliers du (…). De surcroît, rien aux actes de la cause n’indique que les recourants ne se seraient pas tenus à disposition des autorités cantonales durant les semaines et mois qui ont suivi leur rendez-vous avec lesdites autorités. Dans ce contexte, force est de constater qu’aucune disparition des intéressés n’a été signalée par le centre d’hébergement dans lequel ces derniers résidaient les recourants. Par ailleurs, on cherche en vain au dossier des éléments permettant de conclure que l’intéressée aurait été informée de l’imminence d’un vol sous contrainte, lorsqu’elle s’est rendue la première fois aux urgences psychiatriques le 30 janvier 2024. D’autre part, selon les actes de la cause, les autorités compétentes étaient au courant, au plus tard le 28 février 2024, soit six jours avant la date prévue pour l’exécution du transfert, à savoir le 5 mars 2024, de la deuxième hospitalisation de l’intéressée à partir du 27 février 2024 (dossier SEM réexamen, pce 3). Elles ont ainsi pu annuler de manière anticipée l’enregistrement des intéressés sur le vol prévu le 5 mars 2024, la recourante n’étant alors manifestement pas en capacité d’être transférée. Dans ces conditions, l’argumentation du SEM selon laquelle l’intéressée s’est « faite hospitaliser sur une base volontaire » et dans le but manifeste d’empêcher son transfert, ainsi que celui des membres de sa famille en Croatie ne saurait être suivie. En effet, elle repose sur de pures hypothèses et, de surcroît, sur des assomptions erronées quant à la nature et au but</w:t>
      </w:r>
    </w:p>
    <w:p>
      <w:r>
        <w:t>F-3447/2024 Page 9 d’une hospitalisation dite « volontaire », comme cela ressort du rapport du 4 mars 2024 établi par la Dre D._______ (cf. consid. 5.1.4 supra). Compte tenu de la situation concrète de l’intéressée (notamment des diagnostics psychiatriques retenus, du nombre et de la durée des hospitalisations et de l’absence d’avis de disparition au dossier), le SEM n’était pas légitimé à retenir que la recourante, par son comportement, avait cherché à se soustraire (volontairement ou par négligence coupable) à l’exécution de son transfert à destination de la Croatie (cf. en ce sens arrêt du TAF E- 6534/2023 du 8 juillet 2024 p. 12 ; voir aussi les arrêts de la CJUE C-163/17 du 19 mars 2019 Abubacarr Jawo c. Allemagne et CJUE C-578/16 PPU du 16 février 2017 C.K. e.a. c. République de Slovénie, cités par les recourants). En conséquence, il y a lieu de conclure qu’en l’espèce, le délai de transfert des intéressés ne pouvait pas être valablement prolongé sur la base de l’art. 29 par. 2 RD III. Il s’ensuit que celui-ci est bien arrivé à échéance le 4 avril 2024 sans avoir été utilisé. L’autorité intimée aurait donc dû admettre la demande de réexamen des recourants du 16 avril 2024 et, partant, prendre acte que la Suisse était désormais compétente pour connaître de leur demande d’asile (cf. arrêt du TAF E-6534/2024 précité).</w:t>
      </w:r>
    </w:p>
    <w:p>
      <w:r>
        <w:rPr>
          <w:b/>
        </w:rPr>
        <w:t>E. 5.4</w:t>
      </w:r>
    </w:p>
    <w:p>
      <w:r>
        <w:t>Le recours doit donc être admis pour violation du droit fédéral et établissement inexact de l’état de fait pertinent, conformément à l’art. 106 al. 1 let. a et b LAsi. 6. 6.1 Étant donné l’issue de la procédure, il n'y a pas lieu de percevoir des frais de procédure conformément à l’art. 63 al. 1 et 2 PA. 6.2 Par ailleurs, il se justifie d'allouer des dépens au sens de l’art. 64 al. 1 PA et de l’art. 7 al. 1 du règlement du 11 décembre 2006 concernant les frais, dépens et indemnités fixés par le Tribunal administratif fédéral (FITAF, RS 173.320.2). Dans son mémoire de recours du 31 mai 2024, la manda- taire a fait valoir une indemnité de Fr. 830.- pour ses services (pce TAF 1 p. 9), ce qui paraît tout à fait adéquat dans la présente affaire. Il convient donc d’allouer ce montant aux recourants à titre de dépens. 6.3 Dans ces circonstances, la demande d’assistance judiciaire totale est devenue sans objet (cf. à ce sujet, parmi d’autres, arrêt du TAF C-5035/2015 du 8 avril 2015 consid. 9.2 et les réf. cit.).</w:t>
      </w:r>
    </w:p>
    <w:p>
      <w:r>
        <w:t>F-3447/2024 Page 10</w:t>
      </w:r>
    </w:p>
    <w:p>
      <w:r>
        <w:rPr>
          <w:b/>
        </w:rPr>
        <w:t>E. 6.1</w:t>
      </w:r>
    </w:p>
    <w:p>
      <w:r>
        <w:t>Étant donné l'issue de la procédure, il n'y a pas lieu de percevoir des frais de procédure conformément à l'art. 63 al. 1 et 2 PA.</w:t>
      </w:r>
    </w:p>
    <w:p>
      <w:r>
        <w:rPr>
          <w:b/>
        </w:rPr>
        <w:t>E. 6.2</w:t>
      </w:r>
    </w:p>
    <w:p>
      <w:r>
        <w:t>Par ailleurs, il se justifie d'allouer des dépens au sens de l'art. 64 al. 1 PA et de l'art. 7 al. 1 du règlement du 11 décembre 2006 concernant les frais, dépens et indemnités fixés par le Tribunal administratif fédéral (FITAF, RS 173.320.2). Dans son mémoire de recours du 31 mai 2024, la mandataire a fait valoir une indemnité de Fr. 830.- pour ses services (pce TAF 1 p. 9), ce qui paraît tout à fait adéquat dans la présente affaire. Il convient donc d'allouer ce montant aux recourants à titre de dépens.</w:t>
      </w:r>
    </w:p>
    <w:p>
      <w:r>
        <w:rPr>
          <w:b/>
        </w:rPr>
        <w:t>E. 6.3</w:t>
      </w:r>
    </w:p>
    <w:p>
      <w:r>
        <w:t>Dans ces circonstances, la demande d'assistance judiciaire totale est devenue sans objet (cf. à ce sujet, parmi d'autres, arrêt du TAF C-5035/2015 du 8 avril 2015 consid. 9.2 et les réf. cit.).</w:t>
      </w:r>
    </w:p>
    <w:p>
      <w:r>
        <w:rPr>
          <w:b/>
        </w:rPr>
        <w:t>E. 8</w:t>
      </w:r>
    </w:p>
    <w:p>
      <w:r>
        <w:t>avril 2024) et pour finir de dix jours (du 16 avril 2024 au 26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