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F-3438/2017 vom 17. Juli 2018</w:t>
      </w:r>
    </w:p>
    <w:p>
      <w:r>
        <w:t>Bundesverwaltungsgericht, 2018-07-17, DE</w:t>
      </w:r>
    </w:p>
    <w:p>
      <w:r>
        <w:rPr>
          <w:b/>
        </w:rPr>
        <w:t xml:space="preserve">Quelle: </w:t>
      </w:r>
      <w:r>
        <w:t>https://mcp.opencaselaw.ch/entscheid/bvger_F-3438_2017</w:t>
      </w:r>
    </w:p>
    <w:p>
      <w:r>
        <w:t>FR: TAF F-3438/2017 du 17 juillet 2018</w:t>
      </w:r>
    </w:p>
    <w:p>
      <w:r>
        <w:t>IT: TAF F-3438/2017 del 17 luglio 2018</w:t>
      </w:r>
    </w:p>
    <w:p>
      <w:pPr>
        <w:pStyle w:val="Heading2"/>
      </w:pPr>
      <w:r>
        <w:t>Regeste</w:t>
      </w:r>
    </w:p>
    <w:p>
      <w:r>
        <w:t>Einreiseverbot</w:t>
      </w:r>
    </w:p>
    <w:p>
      <w:pPr>
        <w:pStyle w:val="Heading2"/>
      </w:pPr>
      <w:r>
        <w:t>Erwägungen</w:t>
      </w:r>
    </w:p>
    <w:p>
      <w:r>
        <w:rPr>
          <w:b/>
        </w:rPr>
        <w:t>E. 1.1</w:t>
      </w:r>
    </w:p>
    <w:p>
      <w:r>
        <w:t>Einreiseverbote im Sinn von Art. 67 AuG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(vgl. Art. 48 Abs. 1 VwVG).</w:t>
      </w:r>
    </w:p>
    <w:p>
      <w:r>
        <w:rPr>
          <w:b/>
        </w:rPr>
        <w:t>E. 1.4</w:t>
      </w:r>
    </w:p>
    <w:p>
      <w:r>
        <w:t>In der angefochtenen Verfügung ordnete die Vorinstanz ursprünglich die Ausschreibung des Einreiseverbots im Schengener Informationssystem (SIS II) an. Nachdem die deutschen Behörden der Beschwerdeführerin zwischenzeitlich der Beschwerdeführerin sowohl das Visum verlängert als auch eine Arbeitszusicherung ausgestellt hatten, hob die Vorinstanz die SIS-II-Ausschreibung am 12. Oktober 2017 auf (vgl. BVGer act. 23; siehe auch E. 6.3.3). Dadurch änderte sie die ursprüngliche Verfügung gestützt auf Art. 34 Abs. 2 und 3 SIS-II-VO zu Gunsten der Beschwerdeführerin ab (vgl. E. 4), womit die Beschwerde in diesem Punkt gegenstandslos geworden ist (vgl. Urteil des BVGer C-6184/2014 vom 6. April 2016 E. 7). Im darüber hinausgehenden Umfang ist auf die frist- und formgerecht eingereichte Beschwerde einzutreten (vgl. Art. 50 und 52 VwVG).</w:t>
      </w:r>
    </w:p>
    <w:p>
      <w:r>
        <w:rPr>
          <w:b/>
        </w:rPr>
        <w:t>E. 1.5</w:t>
      </w:r>
    </w:p>
    <w:p>
      <w:r>
        <w:t>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1 Bst. b AuG verfügt das SEM gegenüber Ausländerinnen und Ausländern Einreiseverbote, wenn diese nicht innerhalb der angesetzten Ausreisefrist ausgereist sind. Einreiseverbote können ausserdem gegen Personen erlassen werden, die gegen die öffentliche Sicherheit und Ordnung in der Schweiz oder im Ausland verstossen haben oder diese gefährden (Art. 67 Abs. 2 Bst. a AuG). Das Einreiseverbot wird grundsätzlich für eine Dauer von höchstens fünf Jahren erlassen (Art. 67 Abs. 3 erster Satz AuG).</w:t>
      </w:r>
    </w:p>
    <w:p>
      <w:r>
        <w:rPr>
          <w:b/>
        </w:rPr>
        <w:t>E. 3.2</w:t>
      </w:r>
    </w:p>
    <w:p>
      <w:r>
        <w:t>Das in Art. 67 AuG geregelte Einreiseverbot stellt keine Sanktion für ein vergangenes Fehlverhalten dar, sondern ist eine Massnahme zur Abwendung einer künftigen Störung der öffentlichen Sicherheit und Ordnung (vgl. Botschaft zum Bundesgesetz über die Ausländerinnen und Ausländer vom 8. März 2002, BBl 2002 3709 [nachfolgend: Botschaft], S. 3813). Die öffentliche Ordnung und Sicherheit im Sinn von Art. 67 Abs. 2 Bst. a AuG bildet den Oberbegriff für die Gesamtheit der polizeilichen Schutzgüter. Sie umfasst unter anderem die Unverletzlichkeit der objektiven Rechtsordnung und der Rechtsgüter Einzelner (vgl. Botschaft, S. 3809). In diesem Sinn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S. 3813). Dabei genügt es, wenn der ausländischen Person eine Sorgfaltspflichtverletzung zugerechnet werden kann (vgl. E. 4.3.2).</w:t>
      </w:r>
    </w:p>
    <w:p>
      <w:r>
        <w:rPr>
          <w:b/>
        </w:rPr>
        <w:t>E. 4.1</w:t>
      </w:r>
    </w:p>
    <w:p>
      <w:r>
        <w:t>Die Vorinstanz stützt die Anordnung des Einreiseverbots darauf, dass die Beschwerdeführerin nach ihrer Wegweisung nicht innert angesetzter Frist ausgereist sei (Art. 67 Abs. 1 Bst. b AuG). Zudem habe sie mit der Ausübung einer Erwerbstätigkeit ohne Bewilligung gegen die öffentliche Sicherheit und Ordnung verstossen (Art. 67 Abs. 2 Bst. a AuG). Demgegenüber bringt die Beschwerdeführerin vor, mit der Anweisung im Entscheid der Rekursabteilung des Kantons Zürich vom 24. März 2017, die Schweiz unverzüglich zu verlassen, seien sämtliche bisherigen Wegweisungsverfügungen hinfällig geworden. Auch sei sie zu keiner Zeit einer unrechtmässigen Erwerbstätigkeit nachgegangen. Diesbezüglich sei denn auch nie strafrechtlich belangt worden. Auch habe ihr ehemaliger Arbeitgeber deswegen nie Beanstandungen erhalten.</w:t>
      </w:r>
    </w:p>
    <w:p>
      <w:r>
        <w:rPr>
          <w:b/>
        </w:rPr>
        <w:t>E. 4.2</w:t>
      </w:r>
    </w:p>
    <w:p>
      <w:r>
        <w:t>Gestützt auf die mit Urteil des Bundesgerichts vom 20. Februar 2013 gegenüber der Beschwerdeführerin bestätigte Wegweisung (vgl. Urteil 2C_605/2012) setzte ihr das Migrationsamt des Kantons Zürich eine Ausreisefrist bis zum 30. April 2013 (Akten des Migrationsamts des Kantons Zürich [ZH act.] S. 217). Auf ein entsprechendes Wiedererwägungsgesuch trat das Migrationsamt des Kantons Zürich am 30. September 2013 nicht ein und setzte ihr eine Frist zum Verlassen der Schweiz bis zum 31. Dezember 2015 (vgl. ZH act. S. 203 f.). Im darauf folgenden Beschwerdeverfahren hielten die Rekursabteilung des Kantons Zürich sowie das Verwaltungsgericht des Kantons Zürich die Beschwerdeführerin zum Verlassen der Schweiz bis zum 29. Februar 2016 an (vgl. ZH act. S. 169-174 und 182-191). Den diesbezüglichen Erstreckungsgesuchen der Beschwerdeführerin gab das Migrationsamt des Kantons Zürich mit Verfügungen vom 2. und 16. März 2016 nicht statt (vgl. ZH act. S. 162, 168, 175). Da sich die Beschwerdeführerin in der Folge dennoch weiterhin in der Schweiz aufhielt, erfüllt sie offensichtlich die Voraussetzungen zur Anordnung eines Einreiseverbots gemäss Art. 67 Abs. 1 Bst. b AuG.</w:t>
      </w:r>
    </w:p>
    <w:p>
      <w:r>
        <w:rPr>
          <w:b/>
        </w:rPr>
        <w:t>E. 4.3</w:t>
      </w:r>
    </w:p>
    <w:p>
      <w:r>
        <w:t>Die Beschwerdeführerin vertritt die Auffassung, aufgrund der Aufforderung zum unverzüglichen Verlassen der Schweiz vom 24. März 2017 (oben unter Bst. B) seien sämtliche bisherigen Fristansetzungen hinfällig worden. Dies trifft nicht zu. Es wäre mit dem Sinn und Zweck von Art. 67 Abs. 1 Bst. b AuG nicht vereinbar, wenn die Anwendung der Bestimmung durch ein wiederholtes Anheben von Wiedererwägungs- bzw. Härtefallgesuchen vereitelt werden könnte. Auch ändern solche Gesuche nichts daran, dass ein rechtskräftiger Wegweisungsentscheid vorliegt und die Beschwerdeführerin einer hierauf angesetzten Ausreisefrist nicht nachgekommen ist.</w:t>
      </w:r>
    </w:p>
    <w:p>
      <w:r>
        <w:rPr>
          <w:b/>
        </w:rPr>
        <w:t>E. 5.1</w:t>
      </w:r>
    </w:p>
    <w:p>
      <w:r>
        <w:t>Zur Ausübungen einer Erwerbstätigkeit in der Schweiz benötigen Ausländerinnen und Ausländer gemäss Art. 11 Abs. 1 erster Satz AuG unabhängig von der Aufenthaltsdauer eine Bewilligung. Als Erwerbstätigkeit gilt jede üblicherweise gegen Entgelt ausgeübte unselbstständige oder selbstständige Tätigkeit, selbst wenn sie unentgeltlich erfolgt (Art. 11 Abs. 2 AuG).</w:t>
      </w:r>
    </w:p>
    <w:p>
      <w:r>
        <w:rPr>
          <w:b/>
        </w:rPr>
        <w:t>E. 5.2</w:t>
      </w:r>
    </w:p>
    <w:p>
      <w:r>
        <w:t>Vorliegend ist unbestritten und mit Blick auf die Akten erstellt, dass die Beschwerdeführerin in der Zeit von Juni 2007 bis zumindest Ende Mai 2016 in einem Zürcher Hotelbetrieb beschäftigt war (vgl. etwa entsprechendes Arbeitszeugnis vom 17. Mai 2017 [BVGer act. 10, Beilagen]). Dies obschon sie seit dem 20. Februar 2013 über keinen Aufenthaltstitel mehr verfügte, da das Bundesgericht an diesem Tag rechtskräftig den Widerruf ihrer Aufenthaltsbewilligung bestätigte (vgl. Art. 61 BGG; Spescha, in: Spescha et al. [Hrsg.], Kommentar Migrationsrecht, 4. Aufl. 2015, Art. 62 AuG N. 1). Damit ist die Beschwerdeführerin augenscheinlich vom Februar 2013 bis Mai 2016 in der Schweiz einer Erwerbstätigkeit nachgegangen, ohne über die entsprechende Bewilligung zu verfügen, zumal Arbeiten in einem Hotelbetrieb üblicherweise gegen Entgelt verrichtet werden (vgl. Art. 11 Abs. 2 AuG).</w:t>
      </w:r>
    </w:p>
    <w:p>
      <w:r>
        <w:rPr>
          <w:b/>
        </w:rPr>
        <w:t>E. 5.3</w:t>
      </w:r>
    </w:p>
    <w:p>
      <w:r>
        <w:t>Die Beschwerdeführerin muss sich eine allfällige Unkenntnis oder Fehlinterpretation der Einreise- und Aufenthaltsvorschriften anrechnen lassen, da es ihr obliegen hätte, sich über die ihre Rechte und Pflichten im Zusammenhang mit ausländerrechtlichen Vorschriften ins Bild zu setzen (vgl. statt vieler Urteile des BVGer F-297/2017 vom 9. Mai 2018 E. 3.3 sowie C-7411/2014 vom 30. März 2016 E. 4.2 je m.H.). Nachdem sie im Entscheid der Rekursabteilung des Kantons Zürich vom 15. Dezember 2015 explizit darauf hingewiesen worden war, dass sie hier kein Anwesenheitsrecht mehr habe (vgl. ZH act. S. 190), durfte sie nicht auf den rechtlich unverbindlichen Inhalt des Rapports der Stadtpolizei Zürich vom 20. April 2016 vertrauen (vgl. BVGer act. 10, Beilage). Dies umso weniger, als die Migrationsbehörden über ein Vorliegen der Störung der öffentlichen Ordnung in eigener Zuständigkeit bzw. unabhängig von der Ahndung durch den Strafrichter entscheiden (vgl. statt vieler BVGer C-5190/2014 vom 25. September 2015 E. 5.3.1 m.H.).</w:t>
      </w:r>
    </w:p>
    <w:p>
      <w:r>
        <w:rPr>
          <w:b/>
        </w:rPr>
        <w:t>E. 5.4</w:t>
      </w:r>
    </w:p>
    <w:p>
      <w:r>
        <w:t>Nach dem Gesagten ist die vorinstanzliche Feststellung, die Beschwerdeführerin sei hierzulande einer illegalen Erwerbstätigkeit nachgegangen und habe dadurch den Fernhaltegrund von Art. 67 Abs. 2 Bst. a AuG gesetzt, nicht zu beanstanden. Die Beschwerdeführerin hat somit durch ihr bisheriges Verhalten hinreichende Gründe im Sinn von Art. 67 Abs. 1 Bst. a und Abs. 2 Bst. b AuG für die Verhängung einer Fernhaltemassnahme gesetzt.</w:t>
      </w:r>
    </w:p>
    <w:p>
      <w:r>
        <w:rPr>
          <w:b/>
        </w:rPr>
        <w:t>E. 6.1</w:t>
      </w:r>
    </w:p>
    <w:p>
      <w:r>
        <w:t>Zu prüfen bleibt, ob die Vorinstanz das Einreiseverbot in rechtmässiger Ausübung des Ermessens angeordnet und befristet hat. Dabei steht der Grundsatz der Verhältnismässigkeit im Vordergrund. Es ist demnach eine Abwägung zwischen dem öffentlichen Interesse an der Massnahme und den beeinträchtigten privaten Interessen des Betroffenen vorzunehmen. Ausgangspunkt der Überlegungen bilden die Stellung der verletzten oder gefährdeten Rechtsgüter, die Besonderheiten des ordnungswidrigen Verhaltens und die persönlichen Verhältnisse des Verfügungsbelasteten (Art. 96 AuG; ferner vgl. statt vieler Häfelin/Müller/Uhlmann, Allgemeines Verwaltungsrecht, 7. Aufl. 2016, Rz. 555 ff.).</w:t>
      </w:r>
    </w:p>
    <w:p>
      <w:r>
        <w:rPr>
          <w:b/>
        </w:rPr>
        <w:t>E. 6.2</w:t>
      </w:r>
    </w:p>
    <w:p>
      <w:r>
        <w:t>Die Beschwerdeführerin ging während mehr als drei Jahren einer illegalen Erwerbstätigkeit nach (vgl. E. 4.3). Trotz rechtskräftigem Widerrufs- bzw. Wegweisungsverfahren hielt sie sich ausserdem weiterhin in der Schweiz auf und kam damit behördlich angesetzten Ausreisefristen nicht nach (vgl. E. 4.2). Derartiges Verhalten wiegt objektiv gesehen nicht leicht, beinhaltet es doch die Missachtung ausländerrechtlicher Normen, denen im Interesse einer funktionierenden Rechtsordnung eine zentrale Bedeutung zukommt. Entsprechend soll das Einreiseverbot die Beschwerdeführerin dazu anhalten, bei einer künftigen Wiedereinreise in die Schweiz keine weiteren Verstösse gegen die öffentliche Sicherheit und Ordnung zu begehen. In generalpräventiver Hinsicht erscheint die Fernhaltemassnahme ebenfalls als gerechtfertigt, da die öffentliche Sicherheit und Ordnung durch eine konsequente Massnahmenpraxis geschützt werden soll (vgl. BVGE 2014/20 E. 8.2 und Urteil des BVGer F-3201/2016 vom 26. Januar 2017 E. 5.2). Insgesamt ist demnach ein gewichtiges öffentliches Interesse an der Anordnung eines Einreiseverbots gegeben.</w:t>
      </w:r>
    </w:p>
    <w:p>
      <w:r>
        <w:rPr>
          <w:b/>
        </w:rPr>
        <w:t>E. 6.3</w:t>
      </w:r>
    </w:p>
    <w:p>
      <w:r>
        <w:t>Bezüglich der privaten Interessen beruft sich die Beschwerdeführerin auf ihren hiesigen ununterbrochenen Aufenthalt von mehr als zehn Jahren, habe sie doch bereits in den Jahren 1990 bis 1996 als Saisonniere in der Schweiz gearbeitet. Sie habe sich überdies gut integriert und verfüge hier über ein grosses Beziehungsnetzwerk bzw. über Verwandte. Ausserdem habe sie einen hier lebenden Schweizer Lebenspartner.</w:t>
      </w:r>
    </w:p>
    <w:p>
      <w:r>
        <w:rPr>
          <w:b/>
        </w:rPr>
        <w:t>E. 6.4</w:t>
      </w:r>
    </w:p>
    <w:p>
      <w:r>
        <w:t>Bei der Prüfung der privaten Interessen ist vorab darauf hinzuweisen, dass es vorliegend nicht um ein Aufenthaltsrecht sondern um eine Fernhaltemassnahme geht, musste die Beschwerdeführerin doch die Schweiz nach dem Widerruf ihrer Aufenthaltsbewilligung verlassen. Unter diesen Umständen scheitert die Pflege regelmässiger Kontakte zu ihr in der Schweiz nahestehenden Personen bereits am fehlenden Anwesenheitsrecht (vgl. BVGE 2013/4 E. 7.4.1; Urteil des BVGer F-194/2017 vom 18. April 2018 E. 6.3). Mögliche Integrationsprobleme in Serbien können daraus folgend ebenso wenig Gegenstand dieses Verfahrens sein (vgl. Urteil des BVGer F-4842/2016 vom 20. April 2017 E. 7.4). Zu berücksichtigen ist ausserdem, dass die Vorinstanz die Ausschreibung des Einreiseverbots im SIS-II am 12. Oktober 2017 mit sofortiger Wirkung gelöscht hat (vgl. BVGer act. 23). Entsprechend interessieren vorliegend bloss noch durch das Einreiseverbot begründete Nachteile bezüglich der Schweiz bzw. des Fürstentums Liechtenstein (vgl. zum umgekehrten Fall Urteil des BVGer F-6280/2015 vom 10. Februar 2017 E. 5.4).</w:t>
      </w:r>
    </w:p>
    <w:p>
      <w:r>
        <w:rPr>
          <w:b/>
        </w:rPr>
        <w:t>E. 6.5</w:t>
      </w:r>
    </w:p>
    <w:p>
      <w:r>
        <w:t>Für den vorliegenden Fall bleibt somit relevant, ob der über den Verlust des Aufenthaltsrechts hinausgehende, durch das Einreiseverbot zusätzlich bewirkte Eingriff in die Interessen der Beschwerdeführerin einer rechtlichen Prüfung standhält. Einreiseverbote können bei Vorliegen wichtiger Gründe im Sinn einer Ausnahme gestützt auf Art. 67 Abs. 5 AuG für kurze, klar begrenzte Zeit suspendiert werden. Die Erschwernis in der hier diskutierten Sache äussert sich demnach nicht in einem absoluten Verbot von Einreisen während der Geltungsdauer der Fernhaltemassnahme. Sie besteht vielmehr in der Notwendigkeit, im Vorfeld eines Besuchsaufenthalts in der Schweiz per Gesuch eine vorübergehende Aufhebung des Einreiseverbots zu erwirken. In diesem Rahmen hat die Beschwerdeführerin folglich weiterhin die Möglichkeit, Beziehungen zu Freunden und Verwandten in der Schweiz auf schweizerischem Hoheitsgebiet zu pflegen (vgl. BVGE 2014/20 E. 8.3.4 m.H.). Den Beteiligten bleibt es unbenommen, den Kontakt zudem mit modernen Kommunikationsmitteln oder durch Treffen ausserhalb des schweizerischen Staatsgebiets aufrecht zu erhalten (vgl. Urteil des BVGer F-297/2017 vom 9. Mai 2018 E. 7.3 m.H.). Eine übermässige Beschränkung des Rechts auf persönliche Freiheit ist unter diesen Umständen nicht ersichtlich. In Bezug auf die Beziehung zu ihrem Lebenspartner ist sodann miteinzubeziehen, dass den Betroffenen aufgrund des rechtskräftig widerrufenen Aufenthaltsrechts der Beschwerdeführerin bereits im Zeitpunkt ihres Kennenlernens klar sein musste, dass sich persönliche Kontakte in der Schweiz zumindest kurz- oder mittelfristig erschweren würden (vgl. Urteile BVGer F-4191/2017 vom 18. Juni 2018 E. 5.3.2 sowie F-2805/2016 vom 21. März 2017 E. 8.6). Ihre Widerhandlungen gegen das Ausländergesetz (vgl. vorn E. 4 und 5) sprechen gegen eine besonders gute Integration im Sinn von Art. 4 AuG i.V.m. Art. 4 Bst. a der Verordnung vom 24. Oktober 2007 über die Integration von Ausländerinnen und Ausländern (VIntA, SR 142.205). Unter diesen Umständen vermag das Einreiseverbot als solches die Kontaktpflege der Beschwerdeführerin zu ihr nahestehenden Person in der Schweiz insgesamt nur in einem geringen Umfang zu beeinträchtigen.</w:t>
      </w:r>
    </w:p>
    <w:p>
      <w:r>
        <w:rPr>
          <w:b/>
        </w:rPr>
        <w:t>E. 6.6</w:t>
      </w:r>
    </w:p>
    <w:p>
      <w:r>
        <w:t>Die gewichtigen öffentlichen Interessen an der Fernhaltung der Beschwerdeführerin vermögen deren geringe private Interessen gestützt auf die obigen Erwägungen nicht entscheidend zurückzudrängen. Das von der Vorinstanz verhängte Einreiseverbot beruht daher auf einem zureichenden Ausgleich der sich widerstreitenden Interessen. Mithin erscheint die Massnahme zum Schutz der öffentlichen Sicherheit und Ordnung als verhältnismässig und angemessen. Die vorinstanzliche Verhängung eines dreijährigen Einreiseverbots ist demnach nicht zu beanstanden.</w:t>
      </w:r>
    </w:p>
    <w:p>
      <w:r>
        <w:rPr>
          <w:b/>
        </w:rPr>
        <w:t>E. 7</w:t>
      </w:r>
    </w:p>
    <w:p>
      <w:r>
        <w:t>Mit Blick auf die obigen Erwägungen erweist sich die angefochtene Verfügung im Lichte von Art. 49 VwVG als rechtmässig. Die Beschwerde ist demzufolge abzuweisen, soweit darauf einzutreten ist. Im Übrigen ist sie als gegenstandslos geworden abzuschreiben (vorn E. 1.4).</w:t>
      </w:r>
    </w:p>
    <w:p>
      <w:r>
        <w:rPr>
          <w:b/>
        </w:rPr>
        <w:t>E. 8.1</w:t>
      </w:r>
    </w:p>
    <w:p>
      <w:r>
        <w:t>Die Beschwerdeführerin unterliegt nach dem Gesagten im Hauptpunkt. Die Gegenstandslosigkeit ist von keiner Verfahrenspartei materiell zu verantworten. Die für diesen Fall in Art. 5 des Reglements vom 21. Februar 2008 über die Kosten und Entschädigungen vor dem Bundesverwaltungsgericht (VGKE, SR 173.320.2) vorgesehene Abschätzung des mutmasslichen Verfahrensausgangs wäre vorliegend kaum möglich bzw. mit unverhältnismässigem Aufwand verbunden. Die Kosten sind demzufolge nach Ermessen zu reduzieren (Weissenberger/Hirzel, in: Praxiskommentar VwVG, 2. Aufl. 2013, Art. 5 VGKE N. 3 m.H.).</w:t>
      </w:r>
    </w:p>
    <w:p>
      <w:r>
        <w:rPr>
          <w:b/>
        </w:rPr>
        <w:t>E. 8.2</w:t>
      </w:r>
    </w:p>
    <w:p>
      <w:r>
        <w:t>Aus denselben Gründen ist die Vorinstanz zur Leistung einer Parteientschädigung zu verpflichten (Weissenberger/Hirzel, a.a.O., Art. 5 VGKE N. 2). Aufgrund des in E. 8.1 Gesagten erweisen sich Fr. 500. als angemessen (ohne Mehrwertsteuer; vgl. hierzu Urteil des BVGer C-5539/2014 vom 14. April 2016 E. 9.4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