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F-3432/2019 vom 26. September 2019</w:t>
      </w:r>
    </w:p>
    <w:p>
      <w:r>
        <w:t>Bundesverwaltungsgericht, 2019-09-26, DE</w:t>
      </w:r>
    </w:p>
    <w:p>
      <w:r>
        <w:rPr>
          <w:b/>
        </w:rPr>
        <w:t xml:space="preserve">Quelle: </w:t>
      </w:r>
      <w:r>
        <w:t>https://mcp.opencaselaw.ch/entscheid/bvger_F-3432_2019</w:t>
      </w:r>
    </w:p>
    <w:p>
      <w:r>
        <w:t>FR: TAF F-3432/2019 du 26 septembre 2019</w:t>
      </w:r>
    </w:p>
    <w:p>
      <w:r>
        <w:t>IT: TAF F-3432/2019 del 26 settembre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Einspracheverfahren teilgenommen und ist als Gastgeberin der Gesuchstellerin durch die angefochtene Verfügung besonders berührt. Obwohl der fest anberaumte Besuchszeitraum inzwischen abgelaufen ist, muss auf ein fortbestehendes Rechtschutzinteresse geschlossen werden. Dies belegt allein schon die Einreichung des Rechtsmittels. Die Beschwerdeführerin ist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ägyptischen Staatsangehörigen um Erteilung eines Visums für einen Besuchsaufenthalt von 22 Tagen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ägyptische Staatsangehörige unterliegt die Gesuchstellerin unbestrittenermassen der Visumpflicht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innenpolitische Lage in Ägypten bleibt weiterhin angespannt. Seit April 2017 gilt landesweit der Ausnahmezustand. Schwerwiegende Anschläge auf ägyptische Sicherheitskräfte und zivile Ziele können nach wie vor nicht ausgeschlossen werden. Zu Demonstrationen kommt es seit der Wahl von Staatspräsident Al-Sisi im Mai 2014 kaum noch. Der Ausnahmezustand geht mit erhöhten Eingriffsbefugnissen für Sicherheitskräfte und Militär einher. Vor allem nachts ist mit verstärkten Kontrollen durch Sicherheitskräfte zu rechnen. Kritische Äußerungen über Ägypten und politische Kommentare auch in den sozialen Medien können unter anderem als strafbare Beleidigung und Diffamierung Ägyptens oder des Staatspräsidenten bzw. als strafbares "Verbreiten falscher Gerüchte" angesehen werden und eine Strafverfolgung nach sich ziehen. In wirtschaftlicher Hinsicht gilt Ägypten neben Südafrika als das am stärksten industrialisierte Land Afrikas und der MENA-Region. Landwirtschaft spielt dabei eine erhebliche Rolle. Obst und Gemüse werden exportiert, daneben muss aber z.B. Weizen eingeführt werden. Der große informelle Sektor (v.a. Dienstleistungen; Schätzungen gehen von 30-40% des BIP aus) nimmt einen Großteil der Arbeitskräfte auf. Bei einem Netto-Bevölkerungswachstum von jährlich etwa 2,5 Mio. Menschen ist die Arbeitslosigkeit und insbesondere Jugendarbeitslosigkeit besonders hoch. Eine wichtige Rolle spielen überdies weiterhin die Überweisungen der knapp 10 Millionen Auslandsägypter, welche von 17,4 Mrd. US $ im Jahre 2017 auf rund 23 Mrd. US $ im Jahre 2018 gestiegen sind (vgl. zum Ganzen «www.auswärtiges-amt.de» Aussen- und Europapolitik Ägypten Reise- und Sicherheitshinweise - Teilreisewarnung, Stand: 16. September 2019; Wirtschaft, Stand: 24. Juni 2019; Innenpolitik, Stand: 24. Juni 2019; jeweils besucht im September 2019).</w:t>
      </w:r>
    </w:p>
    <w:p>
      <w:r>
        <w:rPr>
          <w:b/>
        </w:rPr>
        <w:t>E. 5.3</w:t>
      </w:r>
    </w:p>
    <w:p>
      <w:r>
        <w:t>Vor diesem Hintergrund ist nicht zu beanstanden, dass die Vorinstanz das Risiko einer nicht fristgerechten Wiederausreise von Besucherinnen und Besuchern aus Ägypten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5.4</w:t>
      </w:r>
    </w:p>
    <w:p>
      <w:r>
        <w:t>Über die persönlichen Lebensverhältnisse der bald 65-jährigen Gesuchstellerin in ihrem Heimatland ist nicht allzu viel bekannt. Gemäss den Angaben der Beschwerdeführerin lebe die Gesuchstellerin mit ihrem Ehemann, den älteren Söhnen und deren Familien zusammen. Auch die Geschwister und weitere Verwandte würden in der Nähe leben. Der Ehemann der Gesuchstellerin sei [...]; sie selber sei pensioniert. Die Beschwerdeführerin macht weiter geltend, ihr Gast müsse nach dem Aufenthalt in der Schweiz zu ihrem Mann zurückkehren und sich wieder um ihre Familie kümmern (SEM act. 5/57). Grundsätzlich ist dem SEM insofern zuzustimmen, als in casu keine besonderen familiären oder gesellschaftlichen Verpflichtungen aufgezeigt werden, welche die Präsenz der Gesuchstellerin in ihrem Heimatland zwingend erfordern würde. Kommt hinzu, dass im Hinblick auf die geltend gemachte familiäre Einbettung der Gesuchstellerin in Ägypten - welche für eine Verwurzelung im Heimatland sprechen könnte - gewisse Vorbehalte angebracht sind, wurden doch keinerlei Urkunden eingereicht, welche geeignet sind, die geschilderten Familienverhältnisse zu dokumentieren sowie den Aufenthalt der Familienangehörigen (insbesondere des Ehemannes) in Ägypten zu belegen.</w:t>
      </w:r>
    </w:p>
    <w:p>
      <w:r>
        <w:rPr>
          <w:b/>
        </w:rPr>
        <w:t>E. 5.5</w:t>
      </w:r>
    </w:p>
    <w:p>
      <w:r>
        <w:t>Damit ist der wirtschaftlichen Situation der Gesuchstellerin ein besonderes Augenmerk zu widmen. Gemäss den Angaben der Beschwerdeführerin soll die Gesuchstellerin zusammen mit ihrem Ehemann ein Haus in A._______ besitzen (SEM act. 1/15). Der Einsprache wurde eine deutsche Übersetzung eines Kaufvertrages beigelegt; das Originaldokument bzw. eine Kopie davon fehlt jedoch (SEM act. 1/3-4). Aus einem der Schweizer Botschaft in Kairo eingereichten Kontoauszug der «National Bank of Egypt», datiert vom 11. Februar 2019, lässt sich weiter entnehmen, dass die Gesuchstellerin dort per 10. Februar 2019 über ein Schlussguthaben von EGP 2'922.46 (ca. CHF 190.00) verfügte (SEM act. 3/31). Mit Beschwerde wurde ein weiterer Bankauszug zu den Akten gelegt. Das Dokument der «HSBC Bank Egypt SAE» vom 16. Juni 2019 weist am 28. Februar 2019 ein Guthaben von EGP 355'360.76 (ca. CHF 23'000.00) auf. Am 21. Mai 2019 resultiert darauf ein Guthaben von EGP 807'333.54 (ca. CHF 52'250.00). Es versteht sich von selbst, dass sich die Vermögensvermehrung auch nicht mit einer gemäss Beschwerdeführerin für ägyptische Verhältnisse «eher hohen» Rente, welche die Gesuchstellerin beziehen würde, erklären lässt (vgl. BVGer act. 1). Die Gastgeberin versäumt es denn auch, diesbezüglich genauere Angaben zu machen oder die Höhe der Rente zu deklarieren. Den eingereichten Auszügen lässt sich dazu nichts Konkretes entnehmen, weisen sie doch unregelmässig hohe Gutschriften auf, deren Herkunft teilweise unklar ist. Es stellt sich zudem die Frage, wieso der Auszug der «HSBC Bank Egypt SAE» erst mit Beschwerde eingereicht wurde und die Schweizer Botschaft mit einem für die Gesuchstellerin unvorteilhafteren Dokument bedient wurde. Vor dem Hintergrund der diffus gebliebenen Vermögenssituation der Gesuchstellerin sind auch in wirtschaftlicher Hinsicht keine Umstände auszumachen, welche geeignet wären, das grundsätzlich anzunehmende Migrationsrisiko entscheidend zu relativieren.</w:t>
      </w:r>
    </w:p>
    <w:p>
      <w:r>
        <w:rPr>
          <w:b/>
        </w:rPr>
        <w:t>E. 5.6</w:t>
      </w:r>
    </w:p>
    <w:p>
      <w:r>
        <w:t>Wie aufgezeigt, bieten weder die Familienverhältnisse noch die wirtschaftliche Situation der Gesuchstellerin eine Gewähr für eine fristgerechte Wiederausreise nach einem Besuchsaufenthalt. Kommt hinzu, dass sich gewisse Vorbehalte aus dem Umstand ergeben, dass die Beschwerdeführerin ihren Gast noch nie persönlich getroffen hat und sie die Einladung stattdessen für ihren besten Freund, den Sohn der Gesuchstellerin, verfasst hat (SEM act. 5/57). Schliesslich gilt es darauf hinzuweisen, dass die Gesuchstellerin bereits in den Jahren 2016 (in der Schweiz), 2017 (in Frankreich) und 2018 (in den Niederlanden) erfolglos versuchte, ein Visum zu beantragen (vgl. Sachverhalt Bst. E).</w:t>
      </w:r>
    </w:p>
    <w:p>
      <w:r>
        <w:rPr>
          <w:b/>
        </w:rPr>
        <w:t>E. 6</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Besuchsaufenthalt besteht. An dieser Einschätzung vermag auch der Hinweis der Beschwerdeführerin auf die von ihr unterzeichnete Verpflichtungserklärung und die sich daraus ergebende Verantwortung nichts zu ändern (vgl. BVGer act. 1). Sie kann zwar als Gastgeberin mit rechtlich verbindlicher Wirkung für gewisse finanzielle Risiken im Zusammenhang mit dem Besuchsaufenthalt, nicht aber für ein bestimmtes Tun oder Unterlassen ihres Gastes einstehen (vgl. BVGE 2009/27 E. 9).</w:t>
      </w:r>
    </w:p>
    <w:p>
      <w:r>
        <w:rPr>
          <w:b/>
        </w:rPr>
        <w:t>E. 7</w:t>
      </w:r>
    </w:p>
    <w:p>
      <w:r>
        <w:t>Mit der fehlenden Gewähr für eine anstandslose Wiederausreise ist eine unabdingbare Voraussetzung zur Erteilung eines Schengen-Visums nicht erfüllt. Ein Grund für die Ausstellung eines Visums mit räumlich beschränkter Gültigkeit ist nicht ersichtlich (vgl. E. 4.5), zumal davon ausgegangen werden kann, dass ein Treffen der Gesuchstellerin mit ihrem in der Schweiz lebenden Sohn und seiner Familie auch ausserhalb der Schweiz möglich ist (vgl. dazu Urteil des BVGer F-1508/2017 vom 23. Juni 2017 E. 7.3 und 7.4). Weitere Ausführungen erübrigen sich damit.</w:t>
      </w:r>
    </w:p>
    <w:p>
      <w:r>
        <w:rPr>
          <w:b/>
        </w:rPr>
        <w:t>E. 8</w:t>
      </w:r>
    </w:p>
    <w:p>
      <w:r>
        <w:t>Die angefochtene Verfügung ist im Lichte von Art. 49 VwVG nicht zu beanstanden. Die Beschwerde ist deshalb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