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F-3429/2019 vom 4. Mai 2021</w:t>
      </w:r>
    </w:p>
    <w:p>
      <w:r>
        <w:t>Bundesverwaltungsgericht, 2021-05-04, FR</w:t>
      </w:r>
    </w:p>
    <w:p>
      <w:r>
        <w:rPr>
          <w:b/>
        </w:rPr>
        <w:t xml:space="preserve">Quelle: </w:t>
      </w:r>
      <w:r>
        <w:t>https://mcp.opencaselaw.ch/entscheid/bvger_F-3429_2019</w:t>
      </w:r>
    </w:p>
    <w:p>
      <w:r>
        <w:t>FR: TAF F-3429/2019 du 4 mai 2021</w:t>
      </w:r>
    </w:p>
    <w:p>
      <w:r>
        <w:t>IT: TAF F-3429/2019 del 4 maggio 2021</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 [RS 173.110]).</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dans les délais prescrits par la loi, le recours est recevable (art. 50 et 52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L'interdiction d'entrée est régie par l'art. 67 LEI.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w:t>
      </w:r>
    </w:p>
    <w:p>
      <w:r>
        <w:rPr>
          <w:b/>
        </w:rPr>
        <w:t>E. 3.2</w:t>
      </w:r>
    </w:p>
    <w:p>
      <w:r>
        <w:t>L'interdiction d'entrée au sens du droit des étrangers vise à empêcher l'entrée ou le retour d'un étranger dont le séjour en Suisse (respectivement dans l'Espace Schengen) est indésirable (cf. arrêt du TF 6B_173/2013 du 19 août 2013 consid. 2.3 ; ATAF 2017 VII/2 consid. 4.1).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2008/24 consid. 4.2 ; arrêt du TAF C-6383/2014 du 6 juin 2016 consid. 5.2).</w:t>
      </w:r>
    </w:p>
    <w:p>
      <w:r>
        <w:rPr>
          <w:b/>
        </w:rPr>
        <w:t>E. 3.3</w:t>
      </w:r>
    </w:p>
    <w:p>
      <w:r>
        <w:t>Enfin, l'autorité compétente examine selon sa libre appréciation si une interdiction d'entrée doit être prononcée. Elle doit donc procéder, ainsi que le commande l'art. 96 al. 1 LEtr, à une pondération de l'ensemble des intérêts (publics et privés) en présence et respecter le principe de proportionnalité (ATF 139 II 121 consid. 6.5.1; ATAF 2017 VII/2 consid. 4.5). Elle doit également respecter le principe de l'égalité de traitement et s'interdire tout arbitraire (voir notamment arrêts du TAF F-1519/2017 du 10 avril 2019 consid. 9.1 et F-1061/2018 du 11 mars 2019 consid. 6.1).</w:t>
      </w:r>
    </w:p>
    <w:p>
      <w:r>
        <w:rPr>
          <w:b/>
        </w:rPr>
        <w:t>E. 4.1</w:t>
      </w:r>
    </w:p>
    <w:p>
      <w:r>
        <w:t>Dans un premier temps, il convient d'examiner si le prononcé d'une interdiction d'entrée à l'endroit du recourant est justifié dans son principe. En l'occurrence, l'autorité inférieure a prononcé une décision d'interdiction d'entrée en Suisse d'une durée de deux ans à l'encontre du recourant fondée sur le fait que ce dernier avait été condamné le (...) à une peine pécuniaire de 30 jours-amende à 30 francs, avec sursis et délai d'épreuve à 3 ans, pour vol. Aussi, le SEM a considéré que, de par son comportement, l'intéressé avait porté atteinte à l'ordre et à la sécurité publics, de sorte que son éloignement de Suisse pour une certaine période se justifiait. Dans son mémoire de recours, l'intéressé a plaidé une « erreur de jeunesse » et a sollicité l'indulgence du Tribunal. Il a par ailleurs mis en avant le fait qu'il a effectué une partie de sa scolarité en Suisse, ses liens affectifs avec une ressortissante suisse, à laquelle il est fiancé depuis le 19 février 2019 et avec laquelle il souhaite se marier au plus tard en automne 2019 ainsi que son implication dans un club de jujitsu local.</w:t>
      </w:r>
    </w:p>
    <w:p>
      <w:r>
        <w:rPr>
          <w:b/>
        </w:rPr>
        <w:t>E. 4.2</w:t>
      </w:r>
    </w:p>
    <w:p>
      <w:r>
        <w:t>D'emblée, le Tribunal rappelle qu'il existe deux régimes juridiques différents concernant le prononcé des interdictions d'entrée, selon que l'intéressé est ressortissant d'un Etat de l'Union européenne (UE) ou d'un Etat tiers. En l'occurrence, le recourant est un ressortissant du Brésil, soit originaire d'un Etat tiers, de sorte que le prononcé querellé s'examine à l'aune de la LEI, les dispositions de l'ALCP relatives à la libre circulation des personnes n'étant pas applicables au cas d'espèce. Or, selon le Tribunal fédéral, un étranger ressortissant d'un pays tiers n'a pas besoin d'avoir atteint de manière grave l'ordre et la sécurité publics avant de pouvoir se voir interdire d'entrée en Suisse sur la base du seul art. 67 LEI (cf. ATF 139 II 121 consid. 5).</w:t>
      </w:r>
    </w:p>
    <w:p>
      <w:r>
        <w:rPr>
          <w:b/>
        </w:rPr>
        <w:t>E. 4.2.1</w:t>
      </w:r>
    </w:p>
    <w:p>
      <w:r>
        <w:t>Dans le cas présent, le Tribunal constate que l'intéressé a commis un vol, sanctionné par une peine pécuniaire, et que, de ce fait, il a attenté à la sécurité et à l'ordre publics en Suisse. Partant, les conditions d'application de l'art. 67 al. 2 let. a LEI sont remplies.</w:t>
      </w:r>
    </w:p>
    <w:p>
      <w:r>
        <w:rPr>
          <w:b/>
        </w:rPr>
        <w:t>E. 4.2.2</w:t>
      </w:r>
    </w:p>
    <w:p>
      <w:r>
        <w:t>Le fait que l'intéressé soit apparemment fiancé à une ressortissante suisse établie dans le canton de Genève n'est pas ici décisif. Un étranger peut en effet, selon les circonstances, se prévaloir du droit au respect de sa vie privée et familiale au sens de l'art. 8 § 1 CEDH (RS 0.101),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une personne de nationalité suisse, ou détentrice d'une autorisation d'établissement ou d'une autorisation de séjour à la délivrance de laquelle la législation suisse confère un droit certain (arrêt du TF 2C_233/2014 du 18 juillet 2014 consid. 4.1 ; ATF 135 I 153 consid. 2.1, 135 I 143 consid. 1.3.1, 130 II 281 consid. 3.1). Les relations visées à l'art. 8 CEDH sont avant tout celles qui existent entre époux, ainsi que les relations entre parents et enfants mineurs vivant en ménage commun, autrement dit la famille nucléaire (ATF 135 I 143 consid. 1.3.2 et 129 II 11 consid. 2). Or, en l'espèce, semblable relation n'existe pas puisqu'aucun élément au dossier ne permet de retenir que les préparatifs allégués par l'intéressé auraient abouti sur un mariage. Nonobstant ce fait, le Tribunal rappelle qu'en droit des étrangers, il a été jugé qu'une durée de vie commune de trois ans pour un couple n'ayant ni projet de mariage ni enfant était insuffisante pour qu'un couple puisse voir sa relation considérée comme atteignant le degré de stabilité et d'intensité requis pour pouvoir être assimilée à une union conjugale et bénéficier de la protection prévue par l'art. 8 CEDH (cf. ATF 138 III 157 consid. 2.3.3 ; ATAF 2012/4 consid. 3.3.2 ; arrêt du TAF E-7774/2016 du 15 mai 2017 consid. 4). Or, dans le présent cas, les intéressés se sont connus en juillet 2018 et ne peuvent ainsi justifier, indépendamment de toute autre considération, d'une vie commune suffisamment stable et intense pour invoquer avec succès un droit au respect de leur vie familiale.</w:t>
      </w:r>
    </w:p>
    <w:p>
      <w:r>
        <w:rPr>
          <w:b/>
        </w:rPr>
        <w:t>E. 4.2.3</w:t>
      </w:r>
    </w:p>
    <w:p>
      <w:r>
        <w:t>Il en va de même, s'agissant du droit au respect de la vie privée de l'intéressé. En effet, pour que celui-ci puisse s'en prévaloir avec succès, il devrait pouvoir justifier d'un séjour légal de plus de dix ans en Suisse, soit la durée correspondant au délai pour obtenir une autorisation d'établissement ou la naturalisation, en raison de l'existence de liens sociaux développés avec la Suisse qui sont suffisamment étroits pour que le refus de prolonger ou la révocation de l'autorisation de rester en Suisse ne doivent être prononcés que pour des motifs sérieux (ATF 144 I 266 consid. 3 et les références ; arrêt du TF 2C_194/2019 du 10 mars 2019 consid. 2.3). Or, tel n'est pas le cas en l'espèce. En effet, selon ses déclarations telles qu'elles ressortent du mémoire de recours, l'intéressé aurait séjourné légalement en Suisse durant les années scolaires (...) puis durant l'année scolaire (...). Après être retourné au Brésil, il serait revenu en Europe fin (...), se rendant chez son père, établi légalement en France voisine (cf. points 5 et 9 du mémoire de recours). En août (...), il a sollicité des autorités françaises la délivrance d'une autorisation de séjour à des fins de regroupement familial mais, en raison de son installation en Suisse auprès de sa fiancée, en octobre (...), il n'a plus donné suite à cette procédure (cf. point 13 du mémoire de recours). Ainsi, la durée totale de séjour de l'intéressé en Suisse n'excède pas 5 ans.</w:t>
      </w:r>
    </w:p>
    <w:p>
      <w:r>
        <w:rPr>
          <w:b/>
        </w:rPr>
        <w:t>E. 4.3</w:t>
      </w:r>
    </w:p>
    <w:p>
      <w:r>
        <w:t>Au vu de ce qui précède, il apparait que le SEM a retenu à juste titre que le recourant avait porté atteinte à l'ordre et à la sécurité publics. Le prononcé d'une interdiction d'entrée en Suisse est ainsi pleinement justifié dans son principe.</w:t>
      </w:r>
    </w:p>
    <w:p>
      <w:r>
        <w:rPr>
          <w:b/>
        </w:rPr>
        <w:t>E. 4.4</w:t>
      </w:r>
    </w:p>
    <w:p>
      <w:r>
        <w:t>Par ailleurs, dans la mesure où l'autorité intimée a renoncé à prononcer une mesure d'éloignement d'une durée supérieure à cinq ans à l'endroit de l'intéressé, il ne s'avère pas nécessaire en l'occurrence d'examiner si ce dernier représente une menace qualifiée pour l'ordre et la sécurité publics en Suisse au sens de l'art. 67 al. 3 deuxième phrase LEI.</w:t>
      </w:r>
    </w:p>
    <w:p>
      <w:r>
        <w:rPr>
          <w:b/>
        </w:rPr>
        <w:t>E. 5</w:t>
      </w:r>
    </w:p>
    <w:p>
      <w:r>
        <w:t>Il convient encore d'examiner si la mesure d'éloignement prise par l'autorité intimée satisfait aux principes de la proportionnalité (art. 5 al. 2 et 36 al. 3 Cst.) et de l'égalité de traitement (art. 8 al. 1 Cst.).</w:t>
      </w:r>
    </w:p>
    <w:p>
      <w:r>
        <w:rPr>
          <w:b/>
        </w:rPr>
        <w:t>E. 5.1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w:t>
      </w:r>
    </w:p>
    <w:p>
      <w:r>
        <w:rPr>
          <w:b/>
        </w:rPr>
        <w:t>E. 5.2</w:t>
      </w:r>
    </w:p>
    <w:p>
      <w:r>
        <w:t>En l'occurrence, il y a lieu de considérer que la mesure d'éloignement prononcée à l'encontre de l'intéressé est bien apte et nécessaire à éviter qu'il n'attente encore à l'ordre public suisse.</w:t>
      </w:r>
    </w:p>
    <w:p>
      <w:r>
        <w:rPr>
          <w:b/>
        </w:rPr>
        <w:t>E. 5.3</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 (ATAF 2014/20 consid. 8.2 et 8.3).</w:t>
      </w:r>
    </w:p>
    <w:p>
      <w:r>
        <w:rPr>
          <w:b/>
        </w:rPr>
        <w:t>E. 5.3.1</w:t>
      </w:r>
    </w:p>
    <w:p>
      <w:r>
        <w:t>Quant à l'intérêt public, le Tribunal observe que le recourant a commis un vol, soit une infraction pénale. Il y a donc un intérêt public à le tenir éloigné de Suisse pour éviter une récidive et assurer ainsi le respect de l'ordre établi et la législation en vigueur (cf. arrêt du TAF F-7153/2018 du 7 octobre 2019 consid. 5.3.2).</w:t>
      </w:r>
    </w:p>
    <w:p>
      <w:r>
        <w:rPr>
          <w:b/>
        </w:rPr>
        <w:t>E. 5.3.2</w:t>
      </w:r>
    </w:p>
    <w:p>
      <w:r>
        <w:t>Le Tribunal observe encore que le recourant et sa fiancée ont introduit, en date du 12 juin 2019, une procédure préparatoire en vue de leur mariage, laquelle a conduit à la délivrance d'un sauf-conduit valable du 27 janvier au 26 avril 2020 et à la suspension de la présente procédure par le Tribunal, par ordonnance du 6 février 2020. Toutefois, en l'absence d'autres éléments produits par l'intéressé, le Tribunal a été amené à constater, par ordonnance du 10 juin 2020, que la suspension de la procédure ordonnée le 6 février 2020 avait pris fin. Partant, la prétendue procédure préparatoire en vue du mariage de l'intéressé n'a en l'espèce aucune pertinence.</w:t>
      </w:r>
    </w:p>
    <w:p>
      <w:r>
        <w:rPr>
          <w:b/>
        </w:rPr>
        <w:t>E. 5.3.3</w:t>
      </w:r>
    </w:p>
    <w:p>
      <w:r>
        <w:t>Quant aux intérêts privés du recourant, le Tribunal ne saurait leur accorder une importance prépondérante. En effet, même en cas de levée de la mesure d'interdiction d'entrée en Suisse, les prescriptions ordinaires en matière de droit des étrangers lui demeureraient opposable (cf., dans le même sens, arrêt du TAF F-1279/2017 du 6 juillet 2018 consid. 8.3). L'intéressé ne saurait non plus prétendre à la protection de sa vie privée au sens de l'art. 8 CEDH, la durée totale de ses séjours (tant légaux qu'illégaux) en Suisse devant être fortement relativisée et n'étant par conséquent pas déterminante (arrêt du TF 2C_436/2018 du 8 novembre 2018 consid. 2.3 ; arrêt du TAF F-7152/2018 du 31 janvier 2020 consid. 7.4.2.2). En outre, il ne peut pas non plus se prévaloir de la protection de sa vie familiale au sens de l'art. 8 CEDH, dès lors que, comme déjà relevé au consid. 4.4 ci-avant, sa relation avec sa fiancée, pour autant qu'elle soit toujours d'actualité, n'est en l'état pas protégée juridiquement. Dans ce contexte, le Tribunal rappellera que l'impossibilité pour le recourant de résider en Suisse ne résulte pas directement de la décision querellée, mais découle primairement de l'absence de toute autorisation de séjour.</w:t>
      </w:r>
    </w:p>
    <w:p>
      <w:r>
        <w:rPr>
          <w:b/>
        </w:rPr>
        <w:t>E. 5.3.4</w:t>
      </w:r>
    </w:p>
    <w:p>
      <w:r>
        <w:t>Partant, le Tribunal arrive à la conclusion que la mesure d'éloignement prise par l'autorité inférieure le 22 mai 2019 est nécessaire et adéquate afin de prévenir toute nouvelle atteinte à la sécurité et à l'ordre publics en Suisse. En outre, le Tribunal estime que la durée de la mesure, soit une interdiction d'entrée de deux ans, respecte le principe de proportionnalité, cela également sous l'angle de l'argument, articulé au stade du recours, selon lequel, l'infraction commise ne constitue qu'une « erreur de jeunesse ». Le fait que le recourant n'a pas subi d'autres condamnations a ainsi été pris en compte. Enfin, la durée de la mesure correspond à celle prononcée dans des cas analogues.</w:t>
      </w:r>
    </w:p>
    <w:p>
      <w:r>
        <w:rPr>
          <w:b/>
        </w:rPr>
        <w:t>E. 5.4</w:t>
      </w:r>
    </w:p>
    <w:p>
      <w:r>
        <w:t>Si des raisons humanitaires ou d'autres motifs importants le justifient, l'autorité appelée à statuer peut s'abstenir de prononcer une interdiction d'entrée ou suspendre provisoirement ou définitivement une interdiction d'entrée (art. 67 al. 5 LEI). La formulation ouverte de cette disposition inclut les hypothèses prévues par l'art. 11 al. 3 de la directive sur le retour concernant notamment la possibilité de lever, de suspendre, ou de renoncer à imposer une interdiction d'entrée à l'endroit des victimes et des témoins de la traite d'êtres humains, pour lesquels la LEI prévoit des règles particulières (cf. Message du Conseil fédéral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8058, et normes citées). Or, dans la pratique, une requête basée sur l'art. 67 al. 5 LEI n'est acceptée qu'à titre exceptionnel et pour des raisons importantes telles que l'assignation devant un tribunal, des motifs personnels importants, le décès d'un membre de la famille vivant en Suisse, la visite de membres de la famille proche à l'occasion de jours fériés ou d'événements familiaux importants ou des raisons humanitaires (cf. arrêt TAF F-6416/2018 du 21 mai 2019 consid. 6.4.1 et la réf. cit.). De telles raisons peuvent en effet conduire à l'octroi d'un sauf-conduit suspendant temporairement les effets d'une interdiction d'entrée à l'égard d'un individu. Or, le Tribunal constate, au vu des développements ci-dessus, que les raisons avancées par le recourant ne constituent pas une raison humanitaire ou un autre motif important justifiant que le SEM s'abstienne ou décide de suspendre la mesure d'éloignement au sens de l'art. 67 al. 5 LEI.</w:t>
      </w:r>
    </w:p>
    <w:p>
      <w:r>
        <w:rPr>
          <w:b/>
        </w:rPr>
        <w:t>E. 5.5</w:t>
      </w:r>
    </w:p>
    <w:p>
      <w:r>
        <w:t>Dans le cas d'espèce, un signalement au SIS est par ailleurs justifié par les faits retenus et satisfait au principe de proportionnalité (cf. art. 24 al. 2 du règlement [CE] 1987/2006 du Parlement européen et du Conseil du 20 décembre 2006 sur l'établissement, le fonctionnement et l'utilisation du système d'information Schengen de deuxième génération [SIS II, JO L 381/4 du 28 décembre 2006]) Le recourant n'a par ailleurs, ni allégué, ni établi, dans le cadre de la présente procédure, qu'il aurait obtenu un titre de séjour dans un pays de l'Espace Schengen.</w:t>
      </w:r>
    </w:p>
    <w:p>
      <w:r>
        <w:rPr>
          <w:b/>
        </w:rPr>
        <w:t>E. 5.6</w:t>
      </w:r>
    </w:p>
    <w:p>
      <w:r>
        <w:t>Eu égard aux considérants qui précèdent, le Tribunal est amené à conclure que la décision querellée est conforme au droit (cf. art. 49 PA).</w:t>
      </w:r>
    </w:p>
    <w:p>
      <w:r>
        <w:rPr>
          <w:b/>
        </w:rPr>
        <w:t>E. 6</w:t>
      </w:r>
    </w:p>
    <w:p>
      <w:r>
        <w:t>Le recours est en conséquence rejeté.</w:t>
      </w:r>
    </w:p>
    <w:p>
      <w:r>
        <w:rPr>
          <w:b/>
        </w:rPr>
        <w:t>E. 7</w:t>
      </w:r>
    </w:p>
    <w:p>
      <w:r>
        <w:t>Au vu de l'issue de la cause, les frais de procédure sont mis à la charge du recourant (cf. art. 63 al. 1 PA en relation avec les art. 1 à 3 du règlement du 21 février 2008 concernant les frais, dépens et indemnités fixés par le Tribunal administratif fédéral [FITAF, RS 172.320.2]). Il n'est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