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F-3425/2020 vom 8. Juli 2020</w:t>
      </w:r>
    </w:p>
    <w:p>
      <w:r>
        <w:t>Bundesverwaltungsgericht, 2020-07-08, DE</w:t>
      </w:r>
    </w:p>
    <w:p>
      <w:r>
        <w:rPr>
          <w:b/>
        </w:rPr>
        <w:t xml:space="preserve">Quelle: </w:t>
      </w:r>
      <w:r>
        <w:t>https://mcp.opencaselaw.ch/entscheid/bvger_F-3425_2020</w:t>
      </w:r>
    </w:p>
    <w:p>
      <w:r>
        <w:t>FR: TAF F-3425/2020 du 8 juillet 2020</w:t>
      </w:r>
    </w:p>
    <w:p>
      <w:r>
        <w:t>IT: TAF F-3425/2020 del 8 luglio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deutschen Behörden innert der in Art. 25 Abs. 1 Dublin-III-VO festgelegten Frist dem Wiederaufnahmegesuch des SEM zugestimmt haben, ist die Zuständigkeit gemäss dieser Bestimmung an Deutschland übergegangen.</w:t>
      </w:r>
    </w:p>
    <w:p>
      <w:r>
        <w:rPr>
          <w:b/>
        </w:rPr>
        <w:t>E. 4</w:t>
      </w:r>
    </w:p>
    <w:p>
      <w:r>
        <w:t>Der Beschwerdeführer bringt in seiner Rechtsmitteleingabe vor, als Opfer eines tätlichen Übergriffes habe er aus Angst Deutschland verlassen. Er wolle weder nach Algerien noch nach Deutschland zurückkehren. In Bezug auf seine medizinischen Gründe verweist er auf die Akten (Arztbericht vom 1. Juli 2020).</w:t>
      </w:r>
    </w:p>
    <w:p>
      <w:r>
        <w:rPr>
          <w:b/>
        </w:rPr>
        <w:t>E. 4.1</w:t>
      </w:r>
    </w:p>
    <w:p>
      <w:r>
        <w:t>Was die geltend gemachte Angst vor Übergriffen seitens Dritter in Deutschland anbelangt, so wird diesbezüglich auf die zutreffenden Ausführungen der Vorinstanz in der angefochtenen Verfügung verwiesen, wonach Deutschland ein Rechtsstaat ist, welcher über eine funktionierende Polizeibehörde verfügt, die sowohl schutzwillig als auch schutzfähig ist. Sollte sich der Beschwerdeführer in Deutschland vor weiteren Übergriffen fürchten, kann er sich an die dafür zuständigen staatlichen Stellen wenden.</w:t>
      </w:r>
    </w:p>
    <w:p>
      <w:r>
        <w:rPr>
          <w:b/>
        </w:rPr>
        <w:t>E. 4.2</w:t>
      </w:r>
    </w:p>
    <w:p>
      <w:r>
        <w:t>Die Vorinstanz stellt ferner die im Arztbericht festgestellten Diagnosen (vgl. Ziff. D des Sachverhalts) nicht in Frage, weist jedoch zu Recht darauf hin, dass diese ausreichend sind, um den Gesundheitszustand des Beschwerdeführers bezüglich der Zumutbarkeit und Zulässigkeit einer Wegweisung nach Deutschland beurteilen zu können. Einerseits ist durch die Metallfixierungen nicht von einer akuten Gefährdung auszugehen. Andererseits ist nicht ersichtlich, weshalb die bereits geplanten Folgeuntersuchungen und allfälligen weiteren Behandlungen (inkl. Entfernung der Metallfixierungen) in der Schweiz zu erfolgen haben, zumal der Zugang zu allen notwendigen medizinischen Untersuchungen und Behandlungen in Deutschland gewährleistet und dort bereits eine Patientenakte vorhanden ist. Ein Selbsteintritt aus humanitären Gründen ist bei dieser Sachlage nicht angezeigt. Die Vorinstanz ist demnach zu Recht gestützt auf Art. 31a Abs. 1 Bst. b AsylG auf das Asylgesuch des Beschwerdeführers nicht eingetreten und hat zu Recht die Überstellung nach Deutschland angeordnet.</w:t>
      </w:r>
    </w:p>
    <w:p>
      <w:r>
        <w:rPr>
          <w:b/>
        </w:rPr>
        <w:t>E. 4.3</w:t>
      </w:r>
    </w:p>
    <w:p>
      <w:r>
        <w:t>Im Übrigen werden die schweizerischen Behörden, die mit dem Vollzug der angefochtenen Verfügung beauftragt sind, die deutschen Behörden vorgängig in geeigneter Weise über die spezifischen medizinischen Umstände des Beschwerdeführers informieren (Art. 31 f. Dublin-III-VO).</w:t>
      </w:r>
    </w:p>
    <w:p>
      <w:r>
        <w:rPr>
          <w:b/>
        </w:rPr>
        <w:t>E. 5</w:t>
      </w:r>
    </w:p>
    <w:p>
      <w:r>
        <w:t>Nach dem Gesagten ist die Beschwerde abzuweisen, weshalb das Gesuch um Erteilung der aufschiebenden Wirkung gegenstandslos geworden ist.</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