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F-3422/2026 vom 29. Mai 2026</w:t>
      </w:r>
    </w:p>
    <w:p>
      <w:r>
        <w:t>Bundesverwaltungsgericht, 2026-05-29, DE</w:t>
      </w:r>
    </w:p>
    <w:p>
      <w:r>
        <w:rPr>
          <w:b/>
        </w:rPr>
        <w:t xml:space="preserve">Quelle: </w:t>
      </w:r>
      <w:r>
        <w:t>https://mcp.opencaselaw.ch/entscheid/bvger_F-3422_2026</w:t>
      </w:r>
    </w:p>
    <w:p>
      <w:r>
        <w:t>FR: TAF F-3422/2026 du 29 mai 2026</w:t>
      </w:r>
    </w:p>
    <w:p>
      <w:r>
        <w:t>IT: TAF F-3422/2026 del 29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für die Behandlung der Beschwerde zuständig (Art. 105 AsylG; Art. 31 ff. VGG). Die übrigen Sachurteilsvoraussetzungen (Legitimation [Art. 48 Abs. 1 VwVG], Frist [Art. 108 Abs. 3 AsylG] und Form [Art. 52 Abs. 1 VwVG]) sind erfüllt.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Vorinstanz hat korrekt erwogen, dass gemäss Art. 12 Abs. 4 Dublin-III-VO grundsätzlich Schweden für die Durchführung des Asyl- und Wegweisungsverfahrens der Beschwerdeführerin zuständig ist, dass das schwedische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der Beschwerdeführerin im Hinblick auf ihre Einreise ohne Visum, die Möglichkeit der Einreichung eines Asylgesuchs in Schweden sowie ihre gesundheitlichen Leiden (Augenprobleme [fortgeschrittener grauer Star], Schwierigkeiten, sich an Dinge zu erinnern) berücksichtigt und rechtsprechungskonform gewürdigt. Des Weiteren hat die Vorinstanz korrekt erwogen, dass sich aus der Anwesenheit der erwachsenen Töchter und des Sohnes keine Zuständigkeit der Schweiz ableiten lässt. Weder handelt es sich um Familienangehörige nach Art. 2 Bst. g Dublin-III-VO, noch sind die Voraussetzungen nach Art. 16 Abs. 1 Dublin-III-VO erfüllt. Darüber hinaus hat die Vorinstanz in rechtsfehlerfreier Ausübung des ihr nach Art. 17 Abs. 1 Dublin-III-VO und Art. 29a Abs. 3 AsylV 1 zukommenden Ermessens von einem Selbsteintritt der Schweiz abgesehen. Sie ist demnach zu Recht in Anwendung von Art. 31a Abs. 1 Bst. b AsylG auf das Asylgesuch der Beschwerdeführerin nicht eingetreten und hat in Anwendung von Art. 44 AsylG ihre Wegweisung nach Schweden angeordnet. Zur näheren Begründung wird auf die Erwägungen der Vorinstanz verwiesen.</w:t>
      </w:r>
    </w:p>
    <w:p>
      <w:r>
        <w:rPr>
          <w:b/>
        </w:rPr>
        <w:t>E. 3.2</w:t>
      </w:r>
    </w:p>
    <w:p>
      <w:r>
        <w:t>Was die Beschwerdeführerin auf Rechtsmittelebene vorbringt, vermag nichts an der Richtigkeit der angefochtenen Verfügung zu ändern. Der Vollständigkeit halber ist darauf hinzuweisen, dass die in der Schweiz lebenden, erwachsenen Töchter und der Sohn der Beschwerdeführerin nicht als Familienangehörige im Sinne von Art. 2 Bst. g Dublin-III-VO gelten und ein Abhängigkeitsverhältnis zwischen der Beschwerdeführerin und ihren erwachsenen Kindern nicht ersichtlich ist (Art. 16 Abs. 1 Dublin-III-VO). Es wird zwar nicht in Abrede gestellt, dass die Beschwerdeführerin gesundheitliche Beeinträchtigungen hat; diese gehen jedoch nicht wesentlich über das normale Mass hinaus und sind altersentsprechend nicht aussergewöhnlich. Es liegt bei der Beschwerdeführerin keine schwere Krankheit, geschweige denn eine ernsthafte Behinderung im Sinne von Art. 16 Abs. 1 Dublin-III-VO vor. Im Übrigen besteht kein Zweifel daran, dass die gesundheitlichen Probleme der Beschwerdeführerin in Schweden adäquat behandelt werden können. Die von der Beschwerdeführerin angeführte Unterstützung im Alltag durch ihre Töchter ist zwar ein nachvollziehbares Anliegen, begründet aber kein besonderes Abhängigkeitsverhältnis im Sinne von Art. 16 Abs. 1 Dublin-III-VO (vgl. Urteil des BVGer F-445/2019 vom 14. Februar 2019 E. 5.5), zumal sie bereits seit mehreren Jahren ohne Unterstützung ihrer Kinder ausgekommen ist. Schliesslich ist daran zu erinnern, dass weder die Dublin-III-VO noch andere völkerrechtliche Bestimmungen den Gesuchstellenden ein Recht einräumen, den für die Durchführung des Asylverfahrens zuständigen Staat selbst frei zu wählen (BVGE 2010/45 E. 8.3).</w:t>
      </w:r>
    </w:p>
    <w:p>
      <w:r>
        <w:rPr>
          <w:b/>
        </w:rPr>
        <w:t>E. 3.3</w:t>
      </w:r>
    </w:p>
    <w:p>
      <w:r>
        <w:t>Entgegen den Vorbringen der Beschwerdeführerin liegt weder eine Verletzung des rechtlichen Gehörs in Form der Prüfungs- und Begründungspflicht noch eine Verletzung des Untersuchungsgrundsatzes vor. Wie aus der Begründung des angefochtenen Entscheids hervorgeht, bezog die Vorinstanz die familiären Verhältnisse der Beschwerdeführerin in ihren Entscheid mit ein. Hinsichtlich ihrer Gesundheitssituation durfte die Vorinstanz den Sachverhalt angesichts der Aktenlage als hinreichend erstellt erachten. Dass die Beschwerdeführerin die Schlussfolgerungen der Vorinstanz nicht teilt, begründet keine unvollständige Sachverhaltsabklärung, sondern betrifft deren rechtliche Würdigung. Folglich ist der Eventualantrag, die Sache sei zu weiteren Sachverhaltsabklärungen an die Vorinstanz zurückzuweisen, abzuweisen.</w:t>
      </w:r>
    </w:p>
    <w:p>
      <w:r>
        <w:rPr>
          <w:b/>
        </w:rPr>
        <w:t>E. 4</w:t>
      </w:r>
    </w:p>
    <w:p>
      <w:r>
        <w:t>Nach dem Gesagten ist die angefochtene Verfügung nicht zu beanstanden (Art. 106 AsylG) und die Beschwerde ist abzuweisen.</w:t>
      </w:r>
    </w:p>
    <w:p>
      <w:r>
        <w:rPr>
          <w:b/>
        </w:rPr>
        <w:t>E. 5</w:t>
      </w:r>
    </w:p>
    <w:p>
      <w:r>
        <w:t>Mit vorliegendem Urteil fällt der am 15. Mai 2026 angeordnete Vollzugsstopp dahin.</w:t>
      </w:r>
    </w:p>
    <w:p>
      <w:r>
        <w:rPr>
          <w:b/>
        </w:rPr>
        <w:t>E. 6.1</w:t>
      </w:r>
    </w:p>
    <w:p>
      <w:r>
        <w:t>Die Begehren erweisen sich als aussichtslos, weshalb das Gesuch um unentgeltliche Prozessführung (Art. 65 Abs. 1 VwVG) abzuweisen ist.</w:t>
      </w:r>
    </w:p>
    <w:p>
      <w:r>
        <w:rPr>
          <w:b/>
        </w:rPr>
        <w:t>E. 6.2</w:t>
      </w:r>
    </w:p>
    <w:p>
      <w:r>
        <w:t>Die Kosten des Verfahrens sind der Beschwerdeführerin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