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F-3418/2025 vom 24. September 2024</w:t>
      </w:r>
    </w:p>
    <w:p>
      <w:r>
        <w:t>Bundesverwaltungsgericht, 2024-09-24, DE</w:t>
      </w:r>
    </w:p>
    <w:p>
      <w:r>
        <w:rPr>
          <w:b/>
        </w:rPr>
        <w:t xml:space="preserve">Quelle: </w:t>
      </w:r>
      <w:r>
        <w:t>https://mcp.opencaselaw.ch/entscheid/bvger_F-3418_2025_d20240924</w:t>
      </w:r>
    </w:p>
    <w:p>
      <w:r>
        <w:t>FR: TAF F-3418/2025 du 24 septembre 2024</w:t>
      </w:r>
    </w:p>
    <w:p>
      <w:r>
        <w:t>IT: TAF F-3418/2025 del 24 settembre 2024</w:t>
      </w:r>
    </w:p>
    <w:p>
      <w:pPr>
        <w:pStyle w:val="Heading2"/>
      </w:pPr>
      <w:r>
        <w:t>Regeste</w:t>
      </w:r>
    </w:p>
    <w:p>
      <w:r>
        <w:t>Nichteintreten auf Asylgesuch und Wegweisung (Dublin-Verfahren - Art. 31a Abs. 1 Bst. b AsylG) | Nichteintreten auf Asylgesuch und Wegweisung (Dublin-Verfahren); Verfügung des SEM vom 24. September 2024</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 schwerdeführer ist zur Einreichung der Beschwerde legitimiert (Art. 105 AsylG i.V.m. Art. 48 Abs. 1 VwVG). Auf die frist- und formgerecht einge- reichte Beschwerde ist einzutreten (Art. 108 Abs. 3 AsylG i.V.m.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Insoweit der Beschwerdeführer im vorliegenden Beschwerdeverfahren erneut geltend macht, minderjährig zu sein respektive sich auf systemische Schwachstellen im bulgarischen Asylverfahren beruft, ist darauf hinzuwei- sen, dass diese Fragen bereits rechtskräftig entschieden worden sind, zu- mal der Beschwerdeführer in diesem Kontext keine substanzielle Sachver- haltsänderung geltend zu machen vermag. Im Urteil F-6297/2024 hat das Bundesverwaltungsgericht festgehalten, dass es dem Beschwerdeführer nicht gelungen sei, seine Minderjährigkeit zumindest glaubhaft zu machen (a.a.O. E. 5). Ebenso ist es zum Schluss gekommen, dass die staatsver- tragliche Zuständigkeit Bulgariens für die Durchführung des Asyl- und Weg- weisungsverfahrens grundsätzlich gegeben sei und dass das Asylverfah- ren in Bulgarien nach konstanter Rechtsprechung keine systemischen</w:t>
      </w:r>
    </w:p>
    <w:p>
      <w:r>
        <w:t>F-3418/2025 Seite 5 Schwachstellen gemäss Art. 3 Abs. 2 Dublin-III-VO aufweise respektive dass Art. 3 Abs. 2 Dublin-III-VO keine Anwendung finde (a.a.O. E. 6 f.). Vor diesem Hintergrund hat die Vorinstanz in der angefochtenen Verfügung die Frage der Zuständigkeit gestützt auf Art. 8 Abs. 4 Dublin-III-VO zu Recht nicht erneut thematisiert und es erübrigen sich weitere Ausführungen zur gerügten Verletzung des Übereinkommens vom 20. November 1989 über die Rechte des Kindes (Kinderrechtskonvention, KRK; SR 0.107). Ange- sichts der rechtskräftigen Verneinung von systemischen Schwachstellen im bulgarischen Asylverfahren erübrigen sich schliesslich Weiterungen zu der nunmehr geltend gemachten Gefahr einer Kettenabschiebung (einläss- lich dazu Urteil des EuGH vom 30. November 2023, verbundene Rechts- sachen C-228/21, C-254/21, C-297/21, C-315/21 und C-328/21, §§ 129- 142 und Ziff. 2 des Dispositivs). Eine Verletzung des Untersuchungsgrund- satzes durch die Vorinstanz im Zusammenhang mit den rechtskräftigen Feststellungen durch das Bundesverwaltungsgericht ist klar zu verneinen.</w:t>
      </w:r>
    </w:p>
    <w:p>
      <w:r>
        <w:rPr>
          <w:b/>
        </w:rPr>
        <w:t>E. 3.2.1</w:t>
      </w:r>
    </w:p>
    <w:p>
      <w:r>
        <w:t>Die Rückweisung an die Vorinstanz im Verfahren F-6297/2024 er- folgte einzig zur ergänzenden Feststellung des medizinischen Sachverhal- tes (a.a.O. E. 8.5). Offen gelassen wurde im Urteil demnach lediglich die Frage, ob das Selbsteintrittsrecht nach Art. 17 Abs. 1 erster Satz Dublin-III- VO beziehungsweise Art. 29a Abs. 3 AsylV 1 auszuüben ist. Dies ist nach- folgend zu prüfen.</w:t>
      </w:r>
    </w:p>
    <w:p>
      <w:r>
        <w:rPr>
          <w:b/>
        </w:rPr>
        <w:t>E. 3.2.2</w:t>
      </w:r>
    </w:p>
    <w:p>
      <w:r>
        <w:t>Bulgarien ist Signatarstaat der EMRK, des Übereinkommens vom 10. Dezember 1984 gegen Folter und andere grausame, unmenschliche oder erniedrigende Behandlung oder Strafe (FoK, SR 0.105), des Abkom- mens vom 28. Juli 1951 über die Rechtsstellung der Flüchtlinge (FK, SR 0.142.30), des Zusatzprotokolls der FK vom 3. Januar 1967 (SR 0.142.301) sowie des Übereinkommens zur Beseitigung jeder Form von Rassendiskriminierung vom 21. Dezember 1965 (CERD, SR 0.104) und hat die diesbezüglichen völkerrechtlichen Verpflichtungen zu beach- ten.</w:t>
      </w:r>
    </w:p>
    <w:p>
      <w:r>
        <w:rPr>
          <w:b/>
        </w:rPr>
        <w:t>E. 3.2.3</w:t>
      </w:r>
    </w:p>
    <w:p>
      <w:r>
        <w:t>Auch angesichts der anerkanntermassen schwierigen Bedingungen für Asylsuchende in Bulgarien lassen die Vorbringen des Beschwerdefüh- rers (mangelnde Grund- bzw. Gesundheitsversorgung, Gewaltanwendung durch die Polizei) nicht den Schluss zu, er hätte bei einer Überstellung nach Bulgarien mit hoher Wahrscheinlichkeit eine unmenschliche oder erniedri- gende Behandlung im Sinne von Art. 3 EMRK zu gewärtigen. Sollte er nach seiner Rückkehr von Behördenvertretern rechtswidrig behandelt werden,</w:t>
      </w:r>
    </w:p>
    <w:p>
      <w:r>
        <w:t>F-3418/2025 Seite 6 hat er sich an das bulgarische Justizwesen oder die dortigen Aufsichtsbe- hörden zu wenden. Dies gilt auch bei einer allfälligen Einschränkung der ihnen zustehenden Aufnahmebedingungen (vgl. Art. 26 der Richtlinie des Europäischen Parlaments und des Rates 2013/33/EU vom 26. Juni 2013 zur Festlegung von Normen für die Aufnahme von Personen, die internati- onalen Schutz beantragen [Aufnahmerichtlinie]).</w:t>
      </w:r>
    </w:p>
    <w:p>
      <w:r>
        <w:rPr>
          <w:b/>
        </w:rPr>
        <w:t>E. 3.2.4</w:t>
      </w:r>
    </w:p>
    <w:p>
      <w:r>
        <w:t>Zum Gesundheitszustand des Beschwerdeführers ergibt sich aus den Akten Folgendes: Anlässlich der Erstbefragung UMA gab der Be- schwerdeführer an, dass er aufgrund eines Autounfalls in Bulgarien Bein- schmerzen habe, wenn er lange stehen bleibe oder mehr als üblich laufe. Er habe in der Schweiz eine Salbe bekommen, welche jedoch auch nicht wirklich helfe. Ansonsten habe er nichts Ernsthaftes, aber da er mal von einem Bombensplitter getroffen worden sei, habe er jeweils Schmerzen im linken Hüftbereich, wenn er auf der Seite schlafen wolle. Psychisch gehe es ihm gut, wenngleich er ab und an unter Albträumen leide und wegen der Angst aufwache. Anlässlich der Durchführung des Altersgutachtens wurde beim Beschwerdeführer eine unklare polybulierte Raumforderung im vor- deren Mediastinum festgestellt und zum Ausschluss einer Neoplasie (z.B. Thymon [Tumor des Thymus]) eine Computertomographie (CT) des Tho- rax empfohlen. Das CT wurde bereits am 23. August 2024 durchgeführt, was jedoch zum Zeitpunkt des Entscheides im Verfahren F-6297/2024 nicht in den Akten ersichtlich war. Nach der Rückweisung durch das Bun- desverwaltungsgericht hat die Vorinstanz die Akten entsprechend ergänzt. Aus dem Bericht der B._______ vom 23. August 2024 geht hervor, dass beim Beschwerdeführer lediglich ein residualer, altersentsprechend nor- maler Thymusrest im vorderen Mediastinum ohne Raumforderung respek- tive keine anderweitige mediastinale Raumforderung vorliegt. Das medizi- nische Datenblatt des Bundesasylzentrums (BAZ) vom 29. August 2024 hält fest, dass diesbezüglich keine weiteren Konsequenzen oder Massnah- men angezeigt sind. Nach der Rückweisung durch das Bundesverwal- tungsgericht machte der Beschwerdeführer zudem bereits gegenüber der Vorinstanz psychische Beschwerden geltend. Gemäss dem Arztbericht der C._______ vom 17. Dezember 2024 wurde bei ihm eine Anpassungsstö- rung diagnostiziert. Er könne bis auf Weiteres ungefähr alle zwei Wochen einen Termin in der Psychiatrie wahrnehmen. Auch sei eine schlafför- dernde Pharmakotherapie etabliert worden, welche entsprechend dem Verlauf der Beschwerden angepasst werden könne. Gemäss einem weite- ren Bericht der C._______ vom 26. März 2025 befand sich der Beschwer- deführer mit den Diagnosen Anpassungsstörung und Eisenmangelanämie vom 4. Februar 2025 bis zum 19. Februar 2025 in stationärer Behandlung,</w:t>
      </w:r>
    </w:p>
    <w:p>
      <w:r>
        <w:t>F-3418/2025 Seite 7 nachdem er fremdaggressives Verhalten gezeigt wie auch Suizidgedanken geäussert hatte. Während der Hospitalisation manifestierten sich weder suizidale Gedanken noch Hinweise auf fremdaggressives Verhalten und der Beschwerdeführer konnte schliesslich wieder entlassen werden, wobei eine Weiterbehandlung durch das D._______ vorgesehen wurde.</w:t>
      </w:r>
    </w:p>
    <w:p>
      <w:r>
        <w:rPr>
          <w:b/>
        </w:rPr>
        <w:t>E. 3.2.5</w:t>
      </w:r>
    </w:p>
    <w:p>
      <w:r>
        <w:t>Es ist an dieser Stelle darauf hinzuweisen, dass selbst eine allfällige Suizidalität – auch wenn diese hier nicht konkret im Raum steht – gemäss Rechtsprechung nicht per se ein Vollzugshindernis darstellt (vgl. Urteil BGer 2C_221/2020 vom 19. Juni 2020 E. 2 sowie statt vieler Urteil des BVGer F-7224/2024 vom 23. Dezember 2024 E. 8.4). Die Geltendma- chung eines Suizidrisikos verpflichtet die Behörden nicht grundsätzlich, von einer Ausschaffung abzusehen (Entscheid des EGMR Al-Zawatia ge- gen Schweden vom 22. Juni 2010, 50068/08, § 57 f.).</w:t>
      </w:r>
    </w:p>
    <w:p>
      <w:r>
        <w:rPr>
          <w:b/>
        </w:rPr>
        <w:t>E. 3.2.6</w:t>
      </w:r>
    </w:p>
    <w:p>
      <w:r>
        <w:t>In Würdigung der Akten ist sodann nicht davon auszugehen, dass die gesundheitlichen Leiden des Beschwerdeführers einen Schweregrad errei- chen werden, der die Annahme rechtfertigen würde, eine Überstellung nach Bulgarien sei nicht oder nur nach Einholung einer individuellen Ga- rantie der bulgarischen Behörden mit Art. 3 EMRK vereinbar (s. BVGE 2011/9 E. 7; Urteile des EGMR Paposhvili gegen Belgien 13. Dezember 2016, Grosse Kammer 41738/10, §§ 180-193 m.H., bestätigt durch Savran gegen Dänemark vom 7. Dezember 2021, Grosse Kammer 57467/15, §§ 121 ff.; Referenzurteil F-7195/2018 E. 7.4.1 f.).</w:t>
      </w:r>
    </w:p>
    <w:p>
      <w:r>
        <w:rPr>
          <w:b/>
        </w:rPr>
        <w:t>E. 3.2.7</w:t>
      </w:r>
    </w:p>
    <w:p>
      <w:r>
        <w:t>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 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w:t>
      </w:r>
    </w:p>
    <w:p>
      <w:r>
        <w:rPr>
          <w:b/>
        </w:rPr>
        <w:t>E. 3.2.8</w:t>
      </w:r>
    </w:p>
    <w:p>
      <w:r>
        <w:t>Somit stehen weder Art. 3 EMRK noch andere völkerrechtliche Best- immungen einer Überstellung des Beschwerdeführers nach Bulgarien ent- gegen. Die Vorinstanz hat vom Selbsteintrittsrecht gemäss Art. 17 Abs. 1 Dublin-III-VO und Art. 29a Abs. 3 AsylV 1 zulässigerweise abgesehen. Das ihr zustehende Ermessen hat sie in Vornahme einer hinreichenden Einzel- fallprüfung rechtskonform ausgeübt (vgl. BVGE 2015/9 E. 8).</w:t>
      </w:r>
    </w:p>
    <w:p>
      <w:r>
        <w:t>F-3418/2025 Seite 8</w:t>
      </w:r>
    </w:p>
    <w:p>
      <w:r>
        <w:rPr>
          <w:b/>
        </w:rPr>
        <w:t>E. 4</w:t>
      </w:r>
    </w:p>
    <w:p>
      <w:r>
        <w:t>Im Ergebnis ist die Zuständigkeit Bulgariens für die Durchführung des Asyl- und Wegweisungsverfahrens zu bestätigen. Zu Recht ist die Vorinstanz demnach auf das Asylgesuch des Beschwerdeführers nicht eingetreten und hat seine Überstellung nach Bulgarien verfügt. Die Beschwerde ist ab- zuweisen.</w:t>
      </w:r>
    </w:p>
    <w:p>
      <w:r>
        <w:rPr>
          <w:b/>
        </w:rPr>
        <w:t>E. 5.1</w:t>
      </w:r>
    </w:p>
    <w:p>
      <w:r>
        <w:t>Mit dem vorliegenden Urteil ist das Beschwerdeverfahren abgeschlos- sen, weshalb sich der Antrag auf Gewährung der aufschiebenden Wirkung als gegenstandslos erweist und der angeordnete Vollzugsstopp mit heuti- gem Urteil dahinfällt.</w:t>
      </w:r>
    </w:p>
    <w:p>
      <w:r>
        <w:rPr>
          <w:b/>
        </w:rPr>
        <w:t>E. 5.2</w:t>
      </w:r>
    </w:p>
    <w:p>
      <w:r>
        <w:t>Die Gesuche um Gewährung der unentgeltlichen Prozessführung res- pektive um Beiordnung eines unentgeltlichen Rechtsbeistandes sind abzu- weisen, da die Begehren – wie sich aus den vorstehenden Erwägungen ergibt – von vornherein als aussichtslos zu bezeichnen waren. Die Verfah- renskosten sind dem unterliegenden Beschwerdeführer aufzuerlegen (Art. 63 Abs. 1 VwVG) und auf insgesamt Fr. 750.– festzusetzen (Art. 1 ff. des Reglements vom 21. Februar 2008 über die Kosten und Entschädigun- gen vor dem Bundesverwaltungsgericht [VGKE, SR 173.320.2]).</w:t>
      </w:r>
    </w:p>
    <w:p>
      <w:r>
        <w:rPr>
          <w:b/>
        </w:rPr>
        <w:t>E. 6</w:t>
      </w:r>
    </w:p>
    <w:p>
      <w:r>
        <w:t>Dieses Urteil ist endgültig (Art. 83 Bst. d Ziff. 1 BGG).</w:t>
      </w:r>
    </w:p>
    <w:p>
      <w:r>
        <w:t>(Dispositiv nächste Seite)</w:t>
      </w:r>
    </w:p>
    <w:p>
      <w:r>
        <w:t>F-3418/2025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