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F-3415/2022 vom 27. Oktober 2022</w:t>
      </w:r>
    </w:p>
    <w:p>
      <w:r>
        <w:t>Bundesverwaltungsgericht, 2022-10-27, FR</w:t>
      </w:r>
    </w:p>
    <w:p>
      <w:r>
        <w:rPr>
          <w:b/>
        </w:rPr>
        <w:t xml:space="preserve">Quelle: </w:t>
      </w:r>
      <w:r>
        <w:t>https://mcp.opencaselaw.ch/entscheid/bvger_F-3415_2022</w:t>
      </w:r>
    </w:p>
    <w:p>
      <w:r>
        <w:t>FR: TAF F-3415/2022 du 27 octobre 2022</w:t>
      </w:r>
    </w:p>
    <w:p>
      <w:r>
        <w:t>IT: TAF F-3415/2022 del 27 ottobre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le recourant, par lesquels il a contesté la forme sous laquelle l'entretien Dublin a été retranscrit (« forme résumée » et non sous la forme d'un procès-verbal) et a reproché à l'autorité intimée d'avoir violé son devoir d'instruction et de motivation en lien avec les mauvais traitements dont il a allégué avoir fait l'objet en Croatie.</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2013/23 consid. 6.1.1 et jurisp. cit.).</w:t>
      </w:r>
    </w:p>
    <w:p>
      <w:r>
        <w:rPr>
          <w:b/>
        </w:rPr>
        <w:t>E. 2.4</w:t>
      </w:r>
    </w:p>
    <w:p>
      <w:r>
        <w:t>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(cf. ATF 142 II 154 consid. 4.2 ; 141 V 557 consid. 3.2.1 et jurisp. cit. ; 138 I 232 consid. 5.1 et jurisp. cit. ; ATAF 2013/23 consid. 6.1.1).</w:t>
      </w:r>
    </w:p>
    <w:p>
      <w:r>
        <w:rPr>
          <w:b/>
        </w:rPr>
        <w:t>E. 2.5</w:t>
      </w:r>
    </w:p>
    <w:p>
      <w:r>
        <w:t>En l'espèce, comme relevé à l'appui du recours, le TAF a certes déjà exposé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 l'intéressé (cf. arrêt du TAF E-5472/2018 du 28 août 2019 consid. 4.5.3). Cela dit, en l'occurrence, le résumé circonstancié versé au dossier peut être considéré comme suffisant, d'autant plus que, dans son mémoire de recours, l'intéressé s'est limité à critiquer la forme du compte-rendu de l'entretien Dublin, mais n'a pas fait part de détails supplémentaires qui seraient de nature à fonder la tenue d'une nouvelle audition ni d'éléments qui auraient été omis lors de la retranscription. Contrairement aux allégations du recours, il ne ressort en outre pas dudit compte-rendu que la représentante juridique ait posé des questions en fin d'entretien qui auraient permis de « clarifier certains propos d[u] requéran[t] et les recontextualiser » (cf. recours, p. 5). Par ailleurs, le Tribunal relève que l'autorité intimée a retenu que les déclarations du recourant relatives à ses conditions de vie et aux mauvais traitements dont il aurait fait l'objet en Croatie se limitaient à de simples affirmations et que celui-ci n'avait produit aucun moyen de preuve en vue d'étayer ses allégations. A cet égard, force est de constater que le mode de retranscription dudit entretien n'est donc nullement déterminant.</w:t>
      </w:r>
    </w:p>
    <w:p>
      <w:r>
        <w:rPr>
          <w:b/>
        </w:rPr>
        <w:t>E. 2.6</w:t>
      </w:r>
    </w:p>
    <w:p>
      <w:r>
        <w:t>S'agissant de l'instruction des maltraitances supposément subies en Croatie, le Tribunal relève que l'intéressé a été interrogé lors de son entretien Dublin, en présence de sa mandataire, sur les motifs s'opposant à son transfert vers ce pays et qu'il a alors pu faire part de ce qu'il y avait vécu et des éventuels obstacles à une telle mesure. Au terme de cet entretien, A._______ a du reste précisé avoir pu s'exprimer librement. Sa représentante juridique n'a, quant à elle, formulé aucune remarque particulière sur le contenu et la tenue dudit entretien (hormis sur l'état de santé de son mandant) et a confirmé, par sa signature, qu'elle n'avait pas de questions supplémentaires à poser. Le prénommé n'a pas non plus apporté, par la suite, des précisions, des compléments ou des rectifications par rapport à ses déclarations (telles qu'elles avaient été retranscrites par le SEM), alors qu'il en aurait eu la possibilité jusqu'au prononcé, quinze jours plus tard, de la décision querellée, dans laquelle les mauvais traitements allégués ont du reste été dûment pris en compte. Dans ce contexte, l'intéressé est malvenu de faire grief au SEM, pour la première fois au stade du recours, d'avoir insuffisamment instruit ses allégations et d'avoir ainsi violé la maxime inquisitoire. Quant à la motivation de la décision litigieuse, le Tribunal retient qu'elle satisfait aux exigences jurisprudentielles précitées, dans la mesure où il est d'emblée possible de comprendre sur quels motifs l'autorité inférieure s'est fondée pour statuer. Cette motivation a du reste encore pu être complétée au cours de l'échange d'écritures. Il sied en outre de constater que l'intéressé - qui a produit un mémoire de recours de 16 pages ainsi qu'une réplique - n'a aucunement été empêché d'exercer son droit de recours en toute connaissance de cause. Au demeurant, la présente cause concerne une procédure Dublin de reprise en charge et non de prise en charge de sorte que la jurisprudence introduite par l'arrêt de référence du TAF E-3078/2019 du 12 juillet 2019 et exigeant un examen individualisé des circonstances afférentes au cas particulier notamment en lien avec la pratique des push-backs n'est pas directement applicable. Pour le surplus, par ses arguments soulevés sur ce point, le recourant a en réalité remis en cause l'appréciation de l'autorité inférieure, en relation notamment avec les conditions d'accueil des requérants d'asile en Croatie, ce qui constitue une question relevant du fond.</w:t>
      </w:r>
    </w:p>
    <w:p>
      <w:r>
        <w:rPr>
          <w:b/>
        </w:rPr>
        <w:t>E. 2.7</w:t>
      </w:r>
    </w:p>
    <w:p>
      <w:r>
        <w:t>Dans ces conditions, les griefs formels soulevés à l'appui du recours doivent être écartés.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w:t>
      </w:r>
    </w:p>
    <w:p>
      <w:r>
        <w:rPr>
          <w:b/>
        </w:rPr>
        <w:t>E. 4.1</w:t>
      </w:r>
    </w:p>
    <w:p>
      <w:r>
        <w:t>En l'occurrence, les investigations entreprises par le SEM ont permis d'établir, après consultation de l'unité centrale du système européen « Eurodac », que A._______ avait déposé une demande d'asile en Croatie le 7 juin 2022.</w:t>
      </w:r>
    </w:p>
    <w:p>
      <w:r>
        <w:rPr>
          <w:b/>
        </w:rPr>
        <w:t>E. 4.2</w:t>
      </w:r>
    </w:p>
    <w:p>
      <w:r>
        <w:t>En date du 13 juillet 2022, le Secrétariat d'Etat a dès lors soumis aux autorités croates compétentes, dans le délai fixé à l'art. 23 par. 2 du règlement Dublin III, une requête aux fins de reprise en charge du prénommé, fondée sur l'art. 18 par. 1 let. b RD III, disposition selon laquelle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w:t>
      </w:r>
    </w:p>
    <w:p>
      <w:r>
        <w:rPr>
          <w:b/>
        </w:rPr>
        <w:t>E. 4.3</w:t>
      </w:r>
    </w:p>
    <w:p>
      <w:r>
        <w:t>Le 27 juillet suivant, soit dans le délai fixé par l'art. 25 par. 1 RD III, lesdites autorités ont expressément accepté de reprendre en charge l'intéressé, sur la base de l'art. 20 par. 5 RD III.</w:t>
      </w:r>
    </w:p>
    <w:p>
      <w:r>
        <w:rPr>
          <w:b/>
        </w:rPr>
        <w:t>E. 4.4</w:t>
      </w:r>
    </w:p>
    <w:p>
      <w:r>
        <w:t>Tout d'abord, A._______ a contesté, dans son recours, la compétence de la Croatie, dans la mesure où le SEM avait, dans l'affaire F-2532/2022, annulé sa décision de non-entrée en matière et repris la procédure de première instance, après avoir été invité à se déterminer sur le fait que ce pays ne s'était pas déclaré Etat membre responsable du traitement de la procédure d'asile et de renvoi, mais avait fait application de l'art. 20 par. 5 RD III, comme en l'espèce. Dans le cadre de l'échange d'écritures engagé dans le présent cas, l'autorité intimée n'est, en revanche, pas revenue sur sa décision. A l'appui de sa réplique, le recourant a alors soutenu que cela représentait une violation du principe de l'égalité de traitement.</w:t>
      </w:r>
    </w:p>
    <w:p>
      <w:r>
        <w:rPr>
          <w:b/>
        </w:rPr>
        <w:t>E. 4.4.1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147 I 73 consid. 6.1 ; 145 I 73 consid. 5.1).</w:t>
      </w:r>
    </w:p>
    <w:p>
      <w:r>
        <w:rPr>
          <w:b/>
        </w:rPr>
        <w:t>E. 4.4.2</w:t>
      </w:r>
    </w:p>
    <w:p>
      <w:r>
        <w:t>En l'espèce, le Tribunal constate tout d'abord que, si elle a certes annulé sa décision au cours de l'échange d'écritures initié dans la cause F-2532/2022, l'autorité inférieure n'était pas pour autant entrée en matière sur la demande d'asile qui avait été alors déposée. En outre, il y a lieu de rappeler que chaque demande d'asile est soumise à un examen individuel. Il peut ainsi arriver que des faits analogues ou partiellement analogues puissent aboutir à des décisions différentes. Quoiqu'il en soit, dans le présent cas, le recourant n'a pas établi que le SEM aurait procédé à des distinctions juridiques qui ne se justifiaient pas au regard de la situation de fait à trancher.</w:t>
      </w:r>
    </w:p>
    <w:p>
      <w:r>
        <w:rPr>
          <w:b/>
        </w:rPr>
        <w:t>E. 4.4.3</w:t>
      </w:r>
    </w:p>
    <w:p>
      <w:r>
        <w:t>Par conséquent, le grief tiré du principe de l'égalité de traitement s'avère mal fondé.</w:t>
      </w:r>
    </w:p>
    <w:p>
      <w:r>
        <w:rPr>
          <w:b/>
        </w:rPr>
        <w:t>E. 4.5</w:t>
      </w:r>
    </w:p>
    <w:p>
      <w:r>
        <w:t>S'agissant de la compétence de la Croatie en tant que telle, l'art. 20 par. 5 RD III indique que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4.5.1</w:t>
      </w:r>
    </w:p>
    <w:p>
      <w:r>
        <w:t>Cette disposition implique ainsi le retrait de la demande de protection internationale tel que défini à l'art. 2 let. e RD III. Conformément à la directive no 2013/32/UE du Parlement européen et du Conseil du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4.5.2</w:t>
      </w:r>
    </w:p>
    <w:p>
      <w:r>
        <w:t>En l'espèce, lorsqu'elles ont accepté la requête de reprise en charge formulée par le SEM, les autorités croates ont exposé que l'intéressé avait manifesté son intention de demander l'asile en Croatie le 7 juin 2022, mais avait disparu depuis le 16 juin suivant, date à laquelle il avait quitté le centre où il était hébergé (Reception Centre), tout en précisant que la procédure à son égard était encore en cours et en se référant à l'art. 28 par. 1 de la directive Procédure. En tout état de cause et tel que déjà mentionné, le dépôt par A._______ d'une demande de protection internationale en Croatie est confirmé par les données enregistrées dans le système « Eurodac » (cf. supra, consid. A et 4.1). Dans ces conditions et dans la mesure où le prénommé n'a pas quitté le territoire des Etats membres ni n'a obtenu de titre de séjour de la part d'un Etat membre dans l'intervalle, il se justifie de faire application de l'art. 20 par. 5 RD III, conformément à la jurisprudence précitée (cf. supra, consid. 4.5.1). Au demeurant, le Tribunal constate que l'autorité intimée a indiqué à tort, dans sa décision, que les autorités croates avaient accepté la reprise en charge de l'intéressé sur la base de l'art. 18 par. 1 let. b RD III, ce qu'elle a rectifié à l'appui de sa réponse.</w:t>
      </w:r>
    </w:p>
    <w:p>
      <w:r>
        <w:rPr>
          <w:b/>
        </w:rPr>
        <w:t>E. 4.6</w:t>
      </w:r>
    </w:p>
    <w:p>
      <w:r>
        <w:t>Dans ces conditions, la compétence de la Croatie pour achever le processus de détermination de l'Etat membre responsable de l'examen de la demande d'asile déposée par l'intéressé a été dûment établie.</w:t>
      </w:r>
    </w:p>
    <w:p>
      <w:r>
        <w:rPr>
          <w:b/>
        </w:rPr>
        <w:t>E. 5.1</w:t>
      </w:r>
    </w:p>
    <w:p>
      <w:r>
        <w:t>Cela étant, il y a lieu d'examiner, en vertu de l'art. 3 par. 2 al. 2 du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Aux yeux du Tribunal, nonobstant les prises de position critiques de nombreux organismes (notamment le Conseil de l'Europe) en la matière, le système d'asile et d'accueil croate ne présente pas de défaillances systémiques, respectivement de risques avérés de push-backs à la frontière avec la Bosnie et Herzégovine, s'agissant des requérants qui ont déjà déposé une demande de protection internationale en Croatie et qui sont explicitement repris en charge par cet Etat dans le cadre d'une procédure Dublin (cf. arrêts du TAF E-2755/2022 du 8 septembre 2022 consid. 5.2.3 et jurisp. cit. ; E-1854/2022 du 1er septembre 2022 consid. 6.4 et jurisp. cit. ; D-3316/2022 du 29 août 2022 ; E-3554/2022 du 25 août 2022 consid. 6.2 et jurisp. cit.). De plus, le recourant ne saurait tirer argument de l'arrêt de référence E-3078/2019 précité qui, d'une part, n'a pas considéré que le système mis en place par la Croatie présentait des défaillances systémiques et, d'autre part, concernait la problématique des prises en charge Dublin.</w:t>
      </w:r>
    </w:p>
    <w:p>
      <w:r>
        <w:rPr>
          <w:b/>
        </w:rPr>
        <w:t>E. 5.6</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w:t>
      </w:r>
    </w:p>
    <w:p>
      <w:r>
        <w:rPr>
          <w:b/>
        </w:rPr>
        <w:t>E. 6.1</w:t>
      </w:r>
    </w:p>
    <w:p>
      <w:r>
        <w:t>Pour s'opposer à son transfert, l'intéressé a, en substance, fait valoir que les conditions d'accueil en Croatie étaient déplorables et qu'il y avait été maltraité par la police. Il a également invoqué son état de santé psychique, marqué par les traumatismes endurés en Croatie, et a soutenu qu'il serait, en cas de transfert sur place, exposé à un risque de mauvais traitements (y compris de push-backs). Dans ce contexte, il a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6.3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7.1</w:t>
      </w:r>
    </w:p>
    <w:p>
      <w:r>
        <w:t>En l'occurrence, l'intéressé n'a pas démontré l'existence d'un risque concret et avéré que les autorités croates refuseraient de le reprendre en charge et de poursuivre l'examen de sa demande de protection internationale déjà introduite en Croatie, en violation de la directive Procédure. Les problèmes soulevés dans le recours concernant la situation générale en Croatie en lien avec la procédure d'asile, en particulier les risques de push-backs, ne sauraient suffire à cet égard (cf. supra, consid. 5.5). De plus, force est de relever à nouveau que dites autorités ont expressément accepté la requête de reprise en charge du SEM, en précisant que la procédure d'asile sur place était toujours pendante (cf. supra, consid. F et 4.3). Celles-ci ont du reste explicitement mentionné la directive Procédure dans leur réponse adressée à l'autorité inférieure.</w:t>
      </w:r>
    </w:p>
    <w:p>
      <w:r>
        <w:rPr>
          <w:b/>
        </w:rPr>
        <w:t>E. 7.2</w:t>
      </w:r>
    </w:p>
    <w:p>
      <w:r>
        <w:t>Par ailleurs, le recourant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7.3</w:t>
      </w:r>
    </w:p>
    <w:p>
      <w:r>
        <w:t>S'agissant de sa situation médicale, A._______ a soutenu qu'il présentait un état de santé psychique précaire, en raison des traumatismes découlant de ce qu'il avait subi en Croatie, et qu'il devait dès lors être considéré comme une personne vulnérable.</w:t>
      </w:r>
    </w:p>
    <w:p>
      <w:r>
        <w:rPr>
          <w:b/>
        </w:rPr>
        <w:t>E. 7.3.1</w:t>
      </w:r>
    </w:p>
    <w:p>
      <w:r>
        <w:t>Force est de constater tout d'abord qu'aucun document médical n'a été versé à la cause, ni durant la procédure de première instance ni à l'appui du recours ou de la réplique. Ainsi, rien ne permet d'inférer que le prénommé ne serait pas apte à voyager ou que son transfert en Croatie représenterait un danger concret pour sa santé.</w:t>
      </w:r>
    </w:p>
    <w:p>
      <w:r>
        <w:rPr>
          <w:b/>
        </w:rPr>
        <w:t>E. 7.3.2</w:t>
      </w:r>
    </w:p>
    <w:p>
      <w:r>
        <w:t>En outre, la Croatie, qui est liée par la directive Accueil et qui dispose de structures médicales adéquates (cf. arrêts du TAF précités E-2755/2022 consid. 6.4 ; E-1854/2022 consid. 7.4.2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7.3.3</w:t>
      </w:r>
    </w:p>
    <w:p>
      <w:r>
        <w:t>Dans ces conditions, c'est à juste titre que le SEM a retenu que les problèmes de santé allégués n'apparaissaient pas d'une gravité telle que le transfert du recourant en Croatie serait illicite au sens restrictif de la jurisprudence précitée (cf. supra, consid. 6.3).</w:t>
      </w:r>
    </w:p>
    <w:p>
      <w:r>
        <w:rPr>
          <w:b/>
        </w:rPr>
        <w:t>E. 7.3.4</w:t>
      </w:r>
    </w:p>
    <w:p>
      <w:r>
        <w:t>En tout état de cause, dans le cas où l'intéressé devait avoir besoin de soins particuliers au moment de son transfert vers la Croatie, il lui appartiendra d'en informer les autorités suisses chargées de l'exécution de cette mesure. Le cas échéant, il incombera à celles-ci de transmettre, sous une forme appropriée, aux autorités croates les renseignements permettant une éventuelle prise en charge médicale spécifique (art. 31 et 32 RD III).</w:t>
      </w:r>
    </w:p>
    <w:p>
      <w:r>
        <w:rPr>
          <w:b/>
        </w:rPr>
        <w:t>E. 7.4</w:t>
      </w:r>
    </w:p>
    <w:p>
      <w:r>
        <w:t>En outre, s'il a certes exposé que ses conditions de vie en Croatie avaient été difficiles et que la police l'avait maltraité, le recourant n'a pas démontré que ses conditions d'existence dans ce pays revêtiraient un tel degré de pénibilité et de gravité qu'elles seraient constitutives d'un traitement contraire à l'art. 3 CEDH ou encore à l'art.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w:t>
      </w:r>
    </w:p>
    <w:p>
      <w:r>
        <w:rPr>
          <w:b/>
        </w:rPr>
        <w:t>E. 7.5</w:t>
      </w:r>
    </w:p>
    <w:p>
      <w:r>
        <w:t>Au demeurant, si - après son transfert en Croatie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7.6</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7.7</w:t>
      </w:r>
    </w:p>
    <w:p>
      <w:r>
        <w:t>Par conséquent, le transfert du recourant vers la Croatie n'est pas contraire aux obligations découlant de dispositions conventionnelles auxquelles la Suisse est liée.</w:t>
      </w:r>
    </w:p>
    <w:p>
      <w:r>
        <w:rPr>
          <w:b/>
        </w:rPr>
        <w:t>E. 7.8</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7.9</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9</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10 août 2022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