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F-340/2021 vom 27. Januar 2021</w:t>
      </w:r>
    </w:p>
    <w:p>
      <w:r>
        <w:t>Bundesverwaltungsgericht, 2021-01-27, DE</w:t>
      </w:r>
    </w:p>
    <w:p>
      <w:r>
        <w:rPr>
          <w:b/>
        </w:rPr>
        <w:t xml:space="preserve">Quelle: </w:t>
      </w:r>
      <w:r>
        <w:t>https://mcp.opencaselaw.ch/entscheid/bvger_F-340_2021</w:t>
      </w:r>
    </w:p>
    <w:p>
      <w:r>
        <w:t>FR: TAF F-340/2021 du 27 janvier 2021</w:t>
      </w:r>
    </w:p>
    <w:p>
      <w:r>
        <w:t>IT: TAF F-340/2021 del 27 gennaio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Von Wiederaufnahmeverfahren ausgeschlossen sind unbegleitete Minderjährige (vgl. Filzwieser/Sprung, Dublin III-Verordnung, Wien 2014, Kap. 16 zu Art. 8). 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 Erweist es sich als unmöglich, einen Antragsteller in den eigentlich zuständigen Mitgliedstaat zu überstellen, weil es wesentliche Gründe für die Annahme gibt, dass das Asylverfahren und die Aufnahmebedingungen für Antragsteller in jenem 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19. Februar 2020 in den Niederlanden ein Asylgesuch eingereicht hatte. Das SEM ersuchte deshalb die niederländischen Behörden am 13. November 2020 um Wiederaufnahme des Beschwerdeführers gestützt auf Art. 23 Dublin-III-VO. Diese stimmten dem Gesuch um Übernahme am 24. November 2020 zu. Der Beschwerdeführer bestreitet nicht, in den Niederlanden ein Asylgesuch eingereicht zu haben. Die grundsätzliche Zuständigkeit dieses Staates ist somit gegeben.</w:t>
      </w:r>
    </w:p>
    <w:p>
      <w:r>
        <w:rPr>
          <w:b/>
        </w:rPr>
        <w:t>E. 5.2</w:t>
      </w:r>
    </w:p>
    <w:p>
      <w:r>
        <w:t>Der Beschwerdeführer macht geltend, minderjährig zu sein. Die Beweislast für die behauptete Minderjährigkeit trägt grundsätzlich die asylsuchende Person.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Sämtliche Anhaltspunkte sind abzuwägen, wobei das Resultat des Altersgutachtens nur ein Element bei der Beurteilung der Frage der Glaubhaftigkeit einer geltend gemachten Minderjährigkeit darstellt (vgl. Urteil des BVGer D-6422/2016 vom 10. Januar 2017 E. 5.5). Der Beschwerdeführer reicht auch auf Beschwerdeebene keine Identitätsdokumente ein, die seine angebliche Minderjährigkeit belegen könnten. Die in Aussicht gestellte Geburtsurkunde legt er nur als Foto zu den Akten, obwohl er wusste, dass das Original erforderlich ist. Damit kann auch nicht überprüft werden, ob es sich - wie der Beschwerdeführer behauptet - um eine beglaubigte Fotokopie handelt. Seine Rechtsvertreterin beantragte anlässlich des Gesprächs vom 11. November 2020 eine Frist von zwei bis drei Wochen für die Beibringung des Originals (vgl. SEM-Akten act. [...]-12 S. 3). Bis zur Einreichung der Beschwerde hätte er damit genügend Zeit gehabt, die Geburtsurkunde im Original zu beschaffen. Aufgrund seines Aussageverhaltens kann sodann ebenfalls nicht auf die behauptete Minderjährigkeit geschlossen werden; er nannte stets zwei Jahreszahlen, an welchen er eingeschult beziehungsweise die Schule abgeschlossen haben will (vgl. act. [...]-12 S. 5 f.). Weiter machte er geltend, im Besitz einer Identitätskarte und eines Familienbüchleins zu sein. Diese Dokumente würden sich bei seinem Vater befinden; er wolle zu diesem jedoch keinen Kontakt aufnehmen (vgl. act. [...]-12 S. 2 und 9). Er begründete nicht weiter, weshalb ihm die Kontaktaufnahme nicht möglich sein soll. Mit dem Beschwerdeführer ist davon auszugehen, dass gestützt auf sein Aussehen keine Alterseinschätzung möglich ist. Hingegen deutet die Registrierung in den Niederlanden mit dem Geburtsdatum vom (...) darauf hin, dass er dieses selbst angegeben hat. Unwahrscheinlich scheint, dass die niederländischen Behörden sein angebliches Geburtsdatum vom (...) bei Annahme seiner Volljährigkeit um fünf Jahre auf den (...) korrigierten. Es besteht aufgrund der bestehenden Akten der Verdacht, dass er bei der Anmeldung in der Schweiz versucht hat, sein Alter zu verschleiern. Die niederländischen Behörden gingen sodann trotz Hinweis seitens des SEM auf seine Registrierung als Minderjähriger in der Schweiz von der Volljährigkeit aus, weshalb sie einer Rückübernahme zustimmten. In einer Gesamtwürdigung ist es dem Beschwerdeführer nicht gelungen, seine Minderjährigkeit nachzuweisen oder zumindest glaubhaft zu machen, weshalb er als volljährig betrachtet wird. Die Vorinstanz durfte aufgrund der vorliegenden Indizien darauf verzichten, eine medizinische Altersbestimmung anzuordnen.</w:t>
      </w:r>
    </w:p>
    <w:p>
      <w:r>
        <w:rPr>
          <w:b/>
        </w:rPr>
        <w:t>E. 5.3</w:t>
      </w:r>
    </w:p>
    <w:p>
      <w:r>
        <w:t>Im Lichte von Art. 3 Abs. 2 Dublin-III-VO ist zu prüfen, ob es wesentliche Gründe für die Annahme gibt, das Asylverfahren und die Aufnahmebedingungen für Asylsuchende in den Niederlanden würden systemische Schwachstellen aufweisen, die eine Gefahr einer unmenschlichen oder entwürdigenden Behandlung im Sinne des Artikels 4 der EU-Grundrechtecharta mit sich bringen würden. Die Niederlande sind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kommen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w:t>
      </w:r>
    </w:p>
    <w:p>
      <w:r>
        <w:t>Der Beschwerdeführer hat kein konkretes und ernsthaftes Risiko dargetan, die niederländischen Behörden würden sich weigern, ihn wieder aufzunehmen und seinen Antrag auf internationalen Schutz unter Einhaltung der Regeln der Verfahrensrichtlinie zu prüfen. Den Akten sind denn auch keine Gründe für die Annahme zu entnehmen, sie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die Niederlanden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Vorliegend führt die Überstellung des Beschwerdeführers in die Niederlande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die Niederlande würden ihm dauerhaft die ihm gemäss Aufnahmerichtlinie zustehenden minimalen Lebensbedingungen vorenthalten. Bei einer allfälligen vorübergehenden Einschränkung könnte er sich im Übrigen nötigenfalls an die niederländischen Behörden wenden und die ihm zustehenden Aufnahmebedingungen auf dem Rechtsweg einfordern (vgl. Art. 26 Aufnahmerichtlinie).</w:t>
      </w:r>
    </w:p>
    <w:p>
      <w:r>
        <w:rPr>
          <w:b/>
        </w:rPr>
        <w:t>E. 5.5</w:t>
      </w:r>
    </w:p>
    <w:p>
      <w:r>
        <w:t>Gemäss ärztlicher Auskunft vom 14. Januar 2021 wurde beim Beschwerdeführer eine (...) mit (...) Symptomen diagnostiziert, weshalb er einmal pro Woche eine (...) besucht und zum Einschlafen Medikamente erhält (vgl. act. [...]-47). Seit seiner Kindheit leide er an Darmproblemen in Stresssituationen. Seine gesundheitlichen Probleme sind jedoch nicht derart gravierend, als dass eine Überstellung in die Niederlande eine tatsächliche Gefahr (real risk) einer Verletzung von Art. 3 EMRK mit sich bringen würde (vgl. BVGE 2011/9 E. 7 mit Hinweisen auf die Rechtsprechung des EGMR sowie Urteil des EGMR P. gegen Belgien vom 13. Dezember 2016 [Nr. 41738/10]). Damit handelt es sich beim Beschwerdeführer nicht um eine besonders verletzliche Person. Im Übrigen ist allgemein bekannt, dass die Niederlande über eine ausreichende medizinische Infrastruktur verfügen.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die Niederlande dem Beschwerdeführer eine adäquate medizinische Behandlung verweigern würden.</w:t>
      </w:r>
    </w:p>
    <w:p>
      <w:r>
        <w:rPr>
          <w:b/>
        </w:rPr>
        <w:t>E. 5.6</w:t>
      </w:r>
    </w:p>
    <w:p>
      <w:r>
        <w:t>Für einen Selbsteintritt der Schweiz gemäss Art. 29a Abs. 3 AsylV1 in Verbindung mit Art. 17 Dublin-III-VO besteht demnach keine Veranlassung. Eine Ermessensunterschreitung liegt nicht vor. Der Vollständigkeit halber ist festzuhalten, dass die Dublin-III-VO den Schutzsuchenden kein Recht einräumt, den ihren Antrag prüfenden Staat selber auszuwählen (vgl. auch BVGE 2010/45 E. 8.3).</w:t>
      </w:r>
    </w:p>
    <w:p>
      <w:r>
        <w:rPr>
          <w:b/>
        </w:rPr>
        <w:t>E. 5.7</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seiner finanziellen Verhältnisse abzuweisen, da die Beschwerde gemäss den vorstehenden Erwägungen als aussichtslos zu bezeichnen ist, und es daher an einer gesetzlichen Grundlage zu deren Gewährung fehlt.</w:t>
      </w:r>
    </w:p>
    <w:p>
      <w:r>
        <w:rPr>
          <w:b/>
        </w:rPr>
        <w:t>E. 10</w:t>
      </w:r>
    </w:p>
    <w:p>
      <w:r>
        <w:t>Mit dem vorliegenden Urteil fällt der am 25. Januar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