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F-3400/2024 vom 11. April 2024</w:t>
      </w:r>
    </w:p>
    <w:p>
      <w:r>
        <w:t>Bundesverwaltungsgericht, 2024-04-11, FR</w:t>
      </w:r>
    </w:p>
    <w:p>
      <w:r>
        <w:rPr>
          <w:b/>
        </w:rPr>
        <w:t xml:space="preserve">Quelle: </w:t>
      </w:r>
      <w:r>
        <w:t>https://mcp.opencaselaw.ch/entscheid/bvger_F-3400_2024_d20240411</w:t>
      </w:r>
    </w:p>
    <w:p>
      <w:r>
        <w:t>FR: TAF F-3400/2024 du 11 avril 2024</w:t>
      </w:r>
    </w:p>
    <w:p>
      <w:r>
        <w:t>IT: TAF F-3400/2024 del 11 aprile 2024</w:t>
      </w:r>
    </w:p>
    <w:p>
      <w:pPr>
        <w:pStyle w:val="Heading2"/>
      </w:pPr>
      <w:r>
        <w:t>Regeste</w:t>
      </w:r>
    </w:p>
    <w:p>
      <w:r>
        <w:t>Formation et perfectionnement | Refus d'autorisation d'entrée en Suisse et d'approbation à l'octroi d'une autorisation de séjour pour formation ; décision du SEM du 11 avril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 4 janvier 2023 consid. 1.2.2 et 2D_11/2018 du 12 juin 2018 consid. 1.1 et la réf. cit.).</w:t>
      </w:r>
    </w:p>
    <w:p>
      <w:r>
        <w:rPr>
          <w:b/>
        </w:rPr>
        <w:t>E. 1.2</w:t>
      </w:r>
    </w:p>
    <w:p>
      <w:r>
        <w:t>A moins que la LTAF n'en dispose autrement, la procédure devant le Tribunal est régie par la PA (art. 37 LTAF).</w:t>
      </w:r>
    </w:p>
    <w:p>
      <w:r>
        <w:rPr>
          <w:b/>
        </w:rPr>
        <w:t>E. 1.3</w:t>
      </w:r>
    </w:p>
    <w:p>
      <w:r>
        <w:t>La recourante a qualité pour recourir au sens de l'art. 48 al. 1 PA. Son recours respecte les exigences de forme et de délai fixées par la loi (art. 50 al. 1 et 52 al. 1 PA) et est par conséquent recevable. 2.Le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ATAF 2009/57 consid. 1.2 ; voir également arrêt du TF 1C_214/2015 du 6 novembre 2015 consid. 2.2.2). Elle peut donc s'écarter aussi bien des arguments des parties que des considérants juridiques de la décision querellée, fussent-ils incontestés (cf. ATF 140 III 86 consid. 2). Toutefois, l'autorité saisie se limite en principe aux griefs soulevés et n'examine les questions de droit non invoquées que dans la mesure où les arguments des parties ou le dossier l'y incitent (cf. ATF 122 V 157 consid. 1a et ATAF 2020 VII/2 consid. 5.4). Dans son arrêt, le Tribunal prend en considération l'état de fait existant au moment où il statue (ATAF 2014/1 consid. 2). 3.3.1 Les autorités chargées de l'exécution de la loi fédérale sur les étrangers et l'intégration s'assistent mutuellement dans l'accomplissement de leurs tâches (art. 97 al. 1 LEI). Selon l'art. 99 al. 1 et al. 2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3.2 En l'occurrence, l'OCPM a soumis le dossier à l'approbation du SEM en conformité avec la législation et la jurisprudence (à ce sujet, cf. ATF 141 II 169 consid. 4.3.1, 4.3.2 et 6.1 ; art. 85 al. 1 de l'ordonnance relative à l'admission, au séjour et à l'exercice d'une activité lucrative [OASA, RS 142.201] et art. 2 let. a de l'ordonnance du 13 août 2015 du Département fédéral de justice et police [DFJP] relative aux autorisations et aux décisions préalables dans le domaine du droit des étrangers soumises à la procédure d'approbation [OA-DFJP, RS 142.201.1]. Voir également Directives et commentaires du SEM [ch. 1.3.1] ainsi que leur annexe [ci-après : Directives SEM], publiées sur le site internet www.sem.admin.ch &gt; Publications &amp; services &gt; Directives et circulaires &gt; I. Domaine des étrangers, octobre 2013, état au 1er juin 2024 [site consulté en octobre 2024]). Il s'ensuit que ni le SEM ni, a fortiori, le Tribunal ne sont liés par la proposition émise par l'OCPM le 20 novembre 2023 et peuvent s'écarter de l'appréciation faite par cette autorité. 4.Tout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2</w:t>
      </w:r>
    </w:p>
    <w:p>
      <w:r>
        <w:t>juillet suivant.</w:t>
      </w:r>
    </w:p>
    <w:p>
      <w:r>
        <w:t>J. Les divers autres arguments invoqués de part et d’autre dans le cadre de la procédure de recours seront examinés, si nécessaire, dans les considérants en droit ci-après. Droit : 1.</w:t>
      </w:r>
    </w:p>
    <w:p>
      <w:r>
        <w:t>1.1 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 législation sur les étrangers prononcées par le SEM – lequel constitue une unité de l’administration fédérale telle que définie à l’art. 33 let. d LTAF – sont susceptibles de recours par-devant le Tribunal, qui statue définitivement (art. 1 al. 2 LTAF en relation avec l’art. 83 let. c ch. 2 LTF ; cf. arrêts du Tribunal fédéral [ci-après : le TF] 2D_8/2022 du</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t>F-3400/2024 Page 6</w:t>
      </w:r>
    </w:p>
    <w:p>
      <w:r>
        <w:rPr>
          <w:b/>
        </w:rPr>
        <w:t>E. 5.3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 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 lediglich » selon le texte allemand et « esclusivamente »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(art. 21 al. 3 LEI), le séjour effectué en vue d'une formation ou d'une formation continue est un séjour temporaire (cf. Directives SEM, ch. 5.1.1.1).</w:t>
      </w:r>
    </w:p>
    <w:p>
      <w:r>
        <w:rPr>
          <w:b/>
        </w:rPr>
        <w:t>E. 6.1</w:t>
      </w:r>
    </w:p>
    <w:p>
      <w:r>
        <w:t>Dans sa décision de refus d’approbation du 11 avril 2024, le SEM a tout d’abord souligné que l’intéressée n’avait pas attesté disposer d’un loge- ment approprié pour la durée de ses études en Suisse. En outre, elle n’avait pas démontré à satisfaction la nécessité d’y poursuivre ses études. Il ne ressortait pas du dossier que la formation envisagée ne pouvait pas être suivie dans son pays de résidence, la Turquie. Bien au contraire, un</w:t>
      </w:r>
    </w:p>
    <w:p>
      <w:r>
        <w:t>F-3400/2024 Page 7 Master in Political Science and International Relations pouvait notamment être effectué auprès de l’Université A._______, en Turquie. Ainsi, son choix d’entreprendre des études en Suisse était bien plus dicté par des raisons de convenance personnelle que par des impératifs éducatifs ou profession- nels. En outre, l’intérêt public lié notamment à l’évolution sociodémogra- phique de la Suisse et à une politique d’admission restrictive s’opposait aux intérêts personnels de l’intéressée. Enfin, la procédure d’asile familial initiée au mois de décembre 2020 permettait de douter du réel but du sé- jour envisagé par l’intéressée ; il existait ainsi une probabilité que son in- tention serait de demeurer durablement en Suisse, en contournant la déci- sion négative rendue à son encontre en juillet 2021.</w:t>
      </w:r>
    </w:p>
    <w:p>
      <w:r>
        <w:rPr>
          <w:b/>
        </w:rPr>
        <w:t>E. 6.2</w:t>
      </w:r>
    </w:p>
    <w:p>
      <w:r>
        <w:t>Dans son recours du 29 mai 2024, l’intéressée a souligné l’avantage que représenterait, pour la suite de sa carrière à l’étranger, l’obtention d’un Master en relations internationales et diplomatie délivré par une institution aussi renommée que l’IIG. Elle a avancé que l’Université de A._______ avait manifesté son intention de l’engager dès l’obtention de son Master. Elle a fait valoir qu’elle jouissait d’une situation confortable en Turquie et qu’elle y retournerait à la fin de sa formation en Suisse, tout en arguant qu’elle y disposait désormais d’un logement approprié. Enfin, elle a souli- gné que sa précédente tentative de venir en Suisse visait uniquement à rendre visite à sa mère gravement malade (qui était décédée au mois de mars 2021) et qu’elle n’avait jamais eu l’intention de s’installer durablement dans ce pays ; en effet, sa demande d’asile familial avait été déposée du fait de la suspension de l’octroi de visas durant la pandémie de COVID-19.</w:t>
      </w:r>
    </w:p>
    <w:p>
      <w:r>
        <w:rPr>
          <w:b/>
        </w:rPr>
        <w:t>E. 6.3</w:t>
      </w:r>
    </w:p>
    <w:p>
      <w:r>
        <w:t>Le Tribunal relève que la recourante semble désormais remplir les conditions énoncées à l’art. 27 al. 1 LEI. En effet, elle a produit à l’appui de son recours une attestation d’hébergement signée par son père. Il ressort en outre du dossier qu’elle est régulièrement inscrite au programme de Master en relations internationales et diplomatie de l’IIG et qu’elle dispose des moyens financiers nécessaires. Enfin, la recourante – qui est titulaire d’un Bachelor en relations internationales et sciences politiques – paraît disposer du niveau de formation et des qualifications personnelles requises pour suivre sa nouvelle formation en Suisse (cf., néanmoins, s’agissant du risque d’élusion des prescriptions d’admission, supra, consid. 5.3 et infra, consid. 7.5.3).</w:t>
      </w:r>
    </w:p>
    <w:p>
      <w:r>
        <w:rPr>
          <w:b/>
        </w:rPr>
        <w:t>E. 7.1</w:t>
      </w:r>
    </w:p>
    <w:p>
      <w:r>
        <w:t>Il n’en demeure pas moins que l'art. 27 LEI est une disposition rédigée en la forme potestative (« Kann-Vorschrift »). En conséquence, même si</w:t>
      </w:r>
    </w:p>
    <w:p>
      <w:r>
        <w:t>F-3400/2024 Page 8 l’intéressée remplissait toutes les conditions prévues par la loi, elle ne dis- poserait d'aucun droit à la délivrance d'une autorisation de séjour, à moins qu'elle ne puisse se prévaloir d'une disposition particulière du droit fédéral ou d'un traité lui conférant un tel droit, ce qui n'est pas le cas en l'espèce.</w:t>
      </w:r>
    </w:p>
    <w:p>
      <w:r>
        <w:t>L’admission d’un étranger est donc une décision appartenant à tout Etat souverain qui gère sa politique migratoire de manière autonome, sous réserve des obligations découlant du droit international public (Message du Conseil fédéral du 8 mars 2002 concernant la loi sur les étrangers, in : FF 2002 3469, pp. 3480 à 3482 ch. 1.2.1 et p. 3531 ch. 2.2, ad art. 3 du projet de loi ; cf. arrêt du TAF F-1243/2023 du 17 octobre 2024 consid. 8.1).</w:t>
      </w:r>
    </w:p>
    <w:p>
      <w:r>
        <w:rPr>
          <w:b/>
        </w:rPr>
        <w:t>E. 7.2</w:t>
      </w:r>
    </w:p>
    <w:p>
      <w:r>
        <w:t>Sur la base de ce constat, les autorités disposent d'un large pouvoir d'appréciation dans le cadre des décisions en matière d’autorisations de séjour pour formation (art. 96 LEI) et ne sont par conséquent pas limitées au cadre légal défini par les art. 27 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 3 al. 3 LEI [cf. arrêt du TAF F-2625/2018 du 22 juin 2020 consid. 7.6]) et de la situation personnelle de l’étranger (cf. arrêt du TAF F-1201/2017 du 19 février 2019 consid. 8.1; cf. SPESCHA ET AL., Handbuch zum Migrationsrecht, 4e éd., 2020, p. 118 ss). 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(cf. arrêt du TAF F-1243/2023 du 17 octobre 2024 consid. 8.2 ainsi que Directives SEM ch. 1.1).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 8 al. 2 Cst., en tant que ce refus se fondait de manière déterminante sur l'âge des intéressés, sans qu'il n'existe de motif objectif justifiant l'utilisation d'un tel critère (ATF 147 I 89 consid. 2.9). Ce précédent a donc eu pour conséquence de restreindre quelque peu la marge d'appréciation très large qui était reconnue jusqu'alors au SEM (cf. arrêt du TAF F-4440/2020 du 13 juillet 2021 consid. 5.4).</w:t>
      </w:r>
    </w:p>
    <w:p>
      <w:r>
        <w:t>F-3400/2024 Page 9</w:t>
      </w:r>
    </w:p>
    <w:p>
      <w:r>
        <w:rPr>
          <w:b/>
        </w:rPr>
        <w:t>E. 7.3</w:t>
      </w:r>
    </w:p>
    <w:p>
      <w:r>
        <w:t>Il convient dès lors d’examiner, en tenant compte du large pouvoir d’appréciation dont disposent les autorités compétentes en la matière, si c’est à juste titre que le SEM a refusé d’approuver la délivrance d’une autorisation de séjour pour études en faveur de la recourante, proposée par l’OCPM. Dans ce cadre, procédant à une pondération globale de tous les éléments en présence, le Tribunal retiendra ce qui suit :</w:t>
      </w:r>
    </w:p>
    <w:p>
      <w:r>
        <w:rPr>
          <w:b/>
        </w:rPr>
        <w:t>E. 7.4</w:t>
      </w:r>
    </w:p>
    <w:p>
      <w:r>
        <w:t>Plaide en faveur de l’intéressée le fait qu’elle souhaite obtenir en Suisse un Master of International Relations and Diplomacy afin de compléter sa formation initialement débutée en Turquie, lui permettant par la suite de mettre ses connaissances au profit de son pays de résidence. En outre, compte tenu des diplômes obtenus, son parcours présente une cohérence certaine.</w:t>
      </w:r>
    </w:p>
    <w:p>
      <w:r>
        <w:rPr>
          <w:b/>
        </w:rPr>
        <w:t>E. 7.5.1</w:t>
      </w:r>
    </w:p>
    <w:p>
      <w:r>
        <w:t>Sur un plan plus défavorable dans le contexte de la présente analyse, le Tribunal retiendra que la recourante se trouve déjà au bénéfice d’une formation supérieure, validée par un Bachelor en relations internationales et sciences politiques, obtenu au terme de cinq années académiques (cf. curriculum vitae figurant au dossier cantonal). Il appert ainsi que l’intéressée dispose déjà de solides connaissances, ainsi que l’atteste la promesse d’engagement versée en cause durant la procédure de recours. Dès lors, même si la formation envisagée permettrait à la recourante d’accéder à de nouvelles connaissances plus spécifiques dans le domaine des relations internationales, la poursuite de ses études en Suisse n’apparaît pas indispensable. S’il est vrai que la question de la nécessité du perfectionnement souhaité ne fait pas partie des conditions posées à l’art. 27 LEI pour l’obtention, voire la prolongation de l’autorisation de séjour pour études, cette question doit néanmoins être examinée sous l’angle du large pouvoir d’appréciation conféré à l’autorité dans le cadre de l’art. 96 LEI (cf. supra, consid. 7.2). Si le désir de l'intéressée d'entreprendre une formation complémentaire en Suisse, dans le but d'élargir ses horizons professionnels, est à mettre à son crédit, il relève néanmoins de sa convenance personnelle ; cela ne saurait suffire à justifier que les autorités s'écartent en l'espèce de la priorité qu'il convient d'accorder aux étudiants souhaitant acquérir une première formation en Suisse (cf. arrêts du TAF F-4847/2022 du 23 mai 2023 consid. 8.4.1 et F-2118/2021 du 16 mai 2023 consid. 5.3.3).</w:t>
      </w:r>
    </w:p>
    <w:p>
      <w:r>
        <w:t>F-3400/2024 Page 10</w:t>
      </w:r>
    </w:p>
    <w:p>
      <w:r>
        <w:rPr>
          <w:b/>
        </w:rPr>
        <w:t>E. 7.5.2</w:t>
      </w:r>
    </w:p>
    <w:p>
      <w:r>
        <w:t>En outre, la recourante n’a pas établi à satisfaction de droit que les études de Master envisagées ne pouvaient pas être suivies ailleurs qu’en Suisse. Ainsi que l’a relevé à raison l’autorité inférieure, un Master in Political Science and International Relations peut notamment être suivi en Turquie, auprès de l’Université A._______ (cf. site internet … [consulté en octobre 2024]).</w:t>
      </w:r>
    </w:p>
    <w:p>
      <w:r>
        <w:rPr>
          <w:b/>
        </w:rPr>
        <w:t>E. 7.5.3</w:t>
      </w:r>
    </w:p>
    <w:p>
      <w:r>
        <w:t>Enfin, l’on ne saurait reprocher au SEM d’avoir nourri quelques doutes quant à la volonté de la recourante de retourner en Turquie à l’issue de son séjour en Suisse. C’est le lieu de rappeler qu’à teneur des art. 5 al. 2 LEI et 23 al. 2 OASA, d’une part, l’intéressé doit avoir l’intention de quitter la Suisse à l’issue de sa formation et, d’autre part, aucune procédure de demande antérieure ne doit indiquer que la formation envisagée vise uniquement à éluder les prescriptions générales sur l’admission et le séjour des étrangers afin d’y séjourner durablement. Il convient de tenir notamment compte de la situation personnelle du requérant (âge, situation familiale, formation scolaire préalable, environnement social) et de sa région de provenance (situation économique et politique, marché du travail indigène pour les diplômés des hautes écoles). Il s’agit, sur cette base, d’évaluer la vraisemblance du retour volontaire dans le pays d’origine – respectivement de provenance – au terme de la formation envisagée en Suisse (cf. Directives SEM, ch. 5.1.1.1). En l’espèce, les parents de la recourante ont requis l’asile familial en sa faveur au mois de décembre 2020, demande que le SEM a rejetée au mois de juillet 2021. Durant la présente procédure de recours, celle-ci a soutenu n’avoir jamais eu l’intention de s’établir durablement en Suisse, puisque sa demande d’asile familial - qui visait uniquement à rendre visite à sa mère gravement malade - avait été déposée du fait de la suspension de l’octroi de visas durant la pandémie de COVID-19 (cf. ordonnance 3 du 19 juin 2020 sur les mesures destinées à lutter contre le coronavirus [COVID-19], RO 2020 2195). S’il est, d’un point de vue personnel, compréhensible qu’une fille cherche à se rapprocher de sa mère malade, il n’en demeure pas moins que la recourante reconnaît avoir tenté, via l’institution de l’asile familial, d’entrer en Suisse, il y a moins de quatre ans – alors qu’elle était par ailleurs déjà majeure. Elle n’a au surplus pas interjeté recours contre la décision de refus du SEM du 12 juillet 2021. Sans qu’il ne puisse être conclu à l’existence actuelle d’un abus de droit s’agissant des motivations sous-tendant le dépôt de la demande</w:t>
      </w:r>
    </w:p>
    <w:p>
      <w:r>
        <w:t>F-3400/2024 Page 11 d’autorisation pour formation, il est légitime d’émettre des réserves quant à l’engagement de la recourante à quitter la Suisse au terme de ses études. Ce d’autant plus que son frère W._______ a, quant à lui, bénéficié de l’asile familial et qu’il réside désormais en Suisse, tout comme leur père. Il n’est donc pas exclu que la recourante soit tentée de vouloir s’installer durablement sur le sol helvétique, auprès de sa famille (arrêts du TAF F-490/2022 du 12 décembre 2022 consid. 7.5.2 et F-3202/2018 du 28 février 2019 consid. 7.3 et 8.2.3).</w:t>
      </w:r>
    </w:p>
    <w:p>
      <w:r>
        <w:rPr>
          <w:b/>
        </w:rPr>
        <w:t>E. 7.6</w:t>
      </w:r>
    </w:p>
    <w:p>
      <w:r>
        <w:t>Par voie de conséquence, en procédant à une pesée globale des intérêts et nonobstant l’utilité que pourrait constituer la formation projetée en Suisse et les aspirations légitimes de l’intéressée à vouloir l’accomplir en vue d’élargir ses perspectives professionnelles, il n’apparaît pas que des raisons spécifiques et suffisantes soient de nature à justifier l’approbation à l’octroi de l’autorisation de séjour sollicitée, compte tenu en particulier de la politique d’admission restrictive que les autorités suisses sont amenées à adopter en la matière (cf. arrêts du TAF F-1243/2023 du 17 octobre 2024 consid. 8.3.3 et F-5279/2021 du 11 octobre 2022 consid. 7.3.2).</w:t>
      </w:r>
    </w:p>
    <w:p>
      <w:r>
        <w:rPr>
          <w:b/>
        </w:rPr>
        <w:t>E. 8</w:t>
      </w:r>
    </w:p>
    <w:p>
      <w:r>
        <w:t>Il ressort de ce qui précède que, par sa décision du 11 avril 2024, l’autorité inférieure n’a ni violé le droit fédéral, ni constaté des faits pertinents de manière inexacte ou incomplète. En outre, cette décision n’est pas inopportune (art. 49 PA). Par conséquent, le recours est rejeté. Etant d’emblée infondé, il est re- noncé à un échange d’écritures.</w:t>
      </w:r>
    </w:p>
    <w:p>
      <w:r>
        <w:rPr>
          <w:b/>
        </w:rPr>
        <w:t>E. 9</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 contrario art. 64 al. 1 PA).</w:t>
      </w:r>
    </w:p>
    <w:p>
      <w:r>
        <w:t>(dispositif – page suivante)</w:t>
      </w:r>
    </w:p>
    <w:p>
      <w:r>
        <w:t>F-3400/2024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