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F-3400/2023 vom 9. Juni 2023</w:t>
      </w:r>
    </w:p>
    <w:p>
      <w:r>
        <w:t>Bundesverwaltungsgericht, 2023-06-09, DE</w:t>
      </w:r>
    </w:p>
    <w:p>
      <w:r>
        <w:rPr>
          <w:b/>
        </w:rPr>
        <w:t xml:space="preserve">Quelle: </w:t>
      </w:r>
      <w:r>
        <w:t>https://mcp.opencaselaw.ch/entscheid/bvger_F-3400_2023_d20230609</w:t>
      </w:r>
    </w:p>
    <w:p>
      <w:r>
        <w:t>FR: TAF F-3400/2023 du 9 juin 2023</w:t>
      </w:r>
    </w:p>
    <w:p>
      <w:r>
        <w:t>IT: TAF F-3400/2023 del 9 giugno 2023</w:t>
      </w:r>
    </w:p>
    <w:p>
      <w:pPr>
        <w:pStyle w:val="Heading2"/>
      </w:pPr>
      <w:r>
        <w:t>Regeste</w:t>
      </w:r>
    </w:p>
    <w:p>
      <w:r>
        <w:t>Schengen-Visum | Schengen-Visum; Verfügung des SEM vom 9. Juni 2023</w:t>
      </w:r>
    </w:p>
    <w:p>
      <w:pPr>
        <w:pStyle w:val="Heading2"/>
      </w:pPr>
      <w:r>
        <w:t>Erwägungen</w:t>
      </w:r>
    </w:p>
    <w:p>
      <w:r>
        <w:rPr>
          <w:b/>
        </w:rPr>
        <w:t>E. 1.1</w:t>
      </w:r>
    </w:p>
    <w:p>
      <w:r>
        <w:t>Einspracheentscheide des SEM betreffend Schengen-Visa unterliegen der Beschwerde an das Bundesverwaltungsgericht (Art. 31 ff. VGG i.V.m. Art. 5 VwVG).</w:t>
      </w:r>
    </w:p>
    <w:p>
      <w:r>
        <w:t>F-3400/2023 Seite 3</w:t>
      </w:r>
    </w:p>
    <w:p>
      <w:r>
        <w:rPr>
          <w:b/>
        </w:rPr>
        <w:t>E. 1.2</w:t>
      </w:r>
    </w:p>
    <w:p>
      <w:r>
        <w:t>Das Rechtsmittelverfahren richtet sich nach dem VwVG, soweit das VGG nichts anderes bestimmt (Art. 37 VGG).</w:t>
      </w:r>
    </w:p>
    <w:p>
      <w:r>
        <w:rPr>
          <w:b/>
        </w:rPr>
        <w:t>E. 1.3</w:t>
      </w:r>
    </w:p>
    <w:p>
      <w:r>
        <w:t>Die Beschwerdeführenden sind zur Beschwerde legitimiert (vgl. Art. 48 Abs. 1 VwVG). Auf die frist- und formgerecht eingereichte Beschwerde ist einzutreten (vgl. Art. 50 Abs. 1 und 52 Abs. 1 VwVG).</w:t>
      </w:r>
    </w:p>
    <w:p>
      <w:r>
        <w:rPr>
          <w:b/>
        </w:rPr>
        <w:t>E. 2</w:t>
      </w:r>
    </w:p>
    <w:p>
      <w:r>
        <w:t>Die Beschwerde erweist sich, wie nachfolgend zu zeigen sein wird, als of- fensichtlich unbegründet, weshalb auf die Durchführung eines Schriften- wechsels verzichtet wurde (Art. 57 Abs. 1 VwVG e contrario).</w:t>
      </w:r>
    </w:p>
    <w:p>
      <w:r>
        <w:rPr>
          <w:b/>
        </w:rPr>
        <w:t>E. 3</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2014/1 E. 2 m.H.).</w:t>
      </w:r>
    </w:p>
    <w:p>
      <w:r>
        <w:rPr>
          <w:b/>
        </w:rPr>
        <w:t>E. 4.1</w:t>
      </w:r>
    </w:p>
    <w:p>
      <w:r>
        <w:t>Dem angefochtenen Entscheid liegt das Gesuch eines marokkani- schen Staatsangehörigen um Erteilung eines Visums für einen dreimonati- gen touristischen Aufenthalt in der Schweiz zugrunde. Da sich der Gesuch- steller als sogenannter Drittstaatsangehöriger weder aus eigenem noch aus abgeleitetem Recht auf die EU/EFTA-Personenfreizügigkeitsabkom- men berufen kann und die beabsichtigte Aufenthaltsdauer 90 Tage inner- halb eines Zeitraums von 180 Tagen nicht überschreitet, fällt die vorliegen- de Streitsache in den persönlichen und sachlichen Anwendungsbereich der Schengen-Assoziierungsabkommen (aufgeführt im Anhang I Ziff. 1 des AIG [SR 142.20]), mit denen die Schweiz den Schengen-Besitzstand sowie die dazugehörigen gemeinschaftsrechtlichen Rechtsakte (nachfolgend: Schengen-Recht) übernommen hat. Das AIG und seine Ausführungsbe- stimmungen, hier die Verordnung vom 15. August 2018 über die Einreise und die Visumerteilung (VEV, SR 142.204), gelangen nur soweit zur</w:t>
      </w:r>
    </w:p>
    <w:p>
      <w:r>
        <w:t>F-3400/2023 Seite 4 Anwendung, als die Schengen-Assoziierungsabkommen keine abwei- chenden Bestimmungen enthalten (Art. 2 Abs. 2–5 AIG; Art. 1 Abs. 2 VEV).</w:t>
      </w:r>
    </w:p>
    <w:p>
      <w:r>
        <w:rPr>
          <w:b/>
        </w:rPr>
        <w:t>E. 4.2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[Schengen-]Mitgliedstaaten).</w:t>
      </w:r>
    </w:p>
    <w:p>
      <w:r>
        <w:rPr>
          <w:b/>
        </w:rPr>
        <w:t>E. 5.1</w:t>
      </w:r>
    </w:p>
    <w:p>
      <w:r>
        <w:t>Die Voraussetzungen für die Erteilung eines Visums präsentieren sich im Anwendungsbereich der genannten Rechtsgrundlagen wie folgt:</w:t>
      </w:r>
    </w:p>
    <w:p>
      <w:r>
        <w:rPr>
          <w:b/>
        </w:rPr>
        <w:t>E. 5.2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Schengen-Mitgliedstaaten gültig sein (einheitliches Schengen-Visum; nachfolgend: [Schengen-]Visum) (Art. 2 Bst. d Ziff. 1 VEV) oder sich auf das Hoheitsgebiet eines oder mehrerer Schengen-Mit- gliedstaaten beschränken (Schengen-Visum mit räumlich beschränkter Gültigkeit; nachfolgend: VrG-Visum) (Art. 2 Bst. d Ziff. 2 VEV). Die Visa für längerfristige Aufenthalte sind nationale Visa (Art. 2 Bst. f VEV). Sie unter- stehen ausschliesslich dem Landesrecht. Ob eine drittstaatsangehörige Person für einen kurzfristigen Aufenthalt der Visumpflicht untersteht, be- stimmt sich grundsätzlich nach der Verordnung (EU) 2018/1806 (Art. 8 Abs. 1 und 3 VEV), wobei das Verfahren und die Voraussetzungen der Vi- sumerteilung im Visakodex geregelt werden (Art. 12 Abs. 1 VEV). Gemäss Art. 21 Abs. 1 VK ist ein (formell zulässiges) Visumgesuch daraufhin zu</w:t>
      </w:r>
    </w:p>
    <w:p>
      <w:r>
        <w:t>F-3400/2023 Seite 5 überprüfen,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5.3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 Ist das Visum zu verweigern, weil einer oder meh- rere Ablehnungsgründe gegeben sind, kann ausnahmsweise ein VrG-Visum nach Art. 25 VK erteilt werden. Ein Ausnahmefall, der die Aus- stellung eines VrG-Visums gestattet, liegt namentlich vor, wenn es ein Mit- gliedstaat aus humanitären Gründen, aus Gründen des nationalen Interes- ses oder aufgrund internationaler Verpflichtungen für erforderlich hält, vom Grundsatz abzuweichen, dass die in Art. 6 Abs. 1 Bst. a, c, d und e SGK festgelegten Einreisevoraussetzungen erfüllt sein müssen (Art. 25 Abs. 1 Bst. a Ziff. i VK).</w:t>
      </w:r>
    </w:p>
    <w:p>
      <w:r>
        <w:rPr>
          <w:b/>
        </w:rPr>
        <w:t>E. 6.1</w:t>
      </w:r>
    </w:p>
    <w:p>
      <w:r>
        <w:t>Marokkanische Staatsangehörige in der Situation des Gesuchstellers unterstehen der Visumpflicht (Art. 3 Abs. 1 der Verordnung (EU) 2018/1806 i.V.m. deren Anhang I Ziff. 1). Die Erteilung eines Visums wurde ihm ver- weigert, weil die Vorinstanz eine fristgerechte Wiederausreise vor Ablauf des Visums als nicht hinreichend gesichert betrachtete. Damit wurde auf den Verweigerungsgrund des Art. 32 Abs. 1 Bst. b VK Bezug genommen, demgemäss das Visum der gesuchstellenden Person zu verweigern ist, «wenn begründete Zweifel (…) an der Glaubwürdigkeit (ihrer) Aussagen oder der von (ihr) bekundeten Absicht bestehen, das Hoheitsgebiet der Mit- gliedstaaten vor Ablauf der Gültigkeit des beantragten Visums zu verlas- sen.»</w:t>
      </w:r>
    </w:p>
    <w:p>
      <w:r>
        <w:t>F-3400/2023 Seite 6</w:t>
      </w:r>
    </w:p>
    <w:p>
      <w:r>
        <w:rPr>
          <w:b/>
        </w:rPr>
        <w:t>E. 6.2</w:t>
      </w:r>
    </w:p>
    <w:p>
      <w:r>
        <w:t>Beim Kriterium der gesicherten Wiederausreise ist ein zukünftiges Ver- halten zu beurteilen, über das nur Prognosen abgegeben werden können. Dabei sind sämtliche Umstände des Einzelfalles, insbesondere auch die allgemeinen Verhältnisse im Herkunftsland der gesuchstellenden Person, zu würdigen. Besteht bereits aufgrund der politisch, sozial oder wirtschaft- lich ungünstigen Situation im Herkunftsland ein rechtlich relevantes Risiko nicht regelkonformen Verhaltens, so sind die konkreten Lebensumstände der gesuchstellenden Person daraufhin zu prüfen, ob sie geeignet sind, diese Bedenken zu zerstreuen. Dabei rechtfertigt sich eine strenge Praxis, da die persönliche Interessenlage in solchen Fällen erfahrungsgemäss nicht mit dem Ziel und Zweck einer zeitlich befristeten Einreisebewilligung im Einklang steht. Bei der Beurteilung der gesicherten Wiederausreise kommt der zuständigen Behörde ein erheblicher Beurteilungsspielraum zu (vgl. BVGE 2014/1 E. 6.1 m.H.; ferner statt vieler Urteile des BVGer F-5322/2022 vom 9. Juni 2023 E. 6.1; F-1826/2022 vom 24. Mai 2023 E. 6.1; F-1086/2020 vom 23. Februar 2021 E. 4.1; F-2881/2018 vom 24. Januar 2019 E. 6; vgl. auch Urteil Koushkaki Rn. 56–63, 69, 72–73).</w:t>
      </w:r>
    </w:p>
    <w:p>
      <w:r>
        <w:rPr>
          <w:b/>
        </w:rPr>
        <w:t>E. 6.3</w:t>
      </w:r>
    </w:p>
    <w:p>
      <w:r>
        <w:t>Die Beweislast für ihre Absicht, das Hoheitsgebiet der Schengen-Mit- gliedstaaten vor Ablauf des beantragten Visums zu verlassen, liegt bei der gesuchstellenden Person. Gleiches gilt im Grundsatz auch für die diesbe- zügliche Beweisführungslast. Folglich obliegt es der gesuchstellenden Per- son, Zweifel an der Ernsthaftigkeit ihres Rückkehrwillens zu entkräften, die sich unter anderem aus der allgemeinen Lage in ihrem Wohnsitzstaat oder damit verbundenen Migrationsbewegungen zwischen diesem Staat und den Mitgliedstaaten ergeben können. Zu diesem Zweck hat sie geeignete Angaben zu machen, deren Glaubhaftigkeit durch sachdienliche und ver- trauenswürdige Unterlagen zu belegen ist (Art. 14 Abs. 1 VK; in diesem Sinn Urteil Koushkaki Rn. 71–72; vgl. ferner statt vieler Urteile des BVGer F-4547/2022 vom 26. Juni 2023 E. 6.1; F-4162/2021 vom 23. November 2022 E. 4.1; F-5811/2018 vom 24. April 2020 E. 5.1).</w:t>
      </w:r>
    </w:p>
    <w:p>
      <w:r>
        <w:rPr>
          <w:b/>
        </w:rPr>
        <w:t>E. 7.1</w:t>
      </w:r>
    </w:p>
    <w:p>
      <w:r>
        <w:t>Die Vorinstanz führt zur Begründung ihres Entscheides im Wesentli- chen aus, der Gesuchsteller stamme aus einer Region, aus der als Folge der dort insbesondere in wirtschaftlicher Hinsicht herrschenden Verhält- nisse der Zuwanderungsdruck nach wie vor stark anhalte. Wie die Erfah- rung gezeigt habe, versuchten viele Menschen ins Ausland zu gelangen, um sich unter günstigeren Lebensbedingungen eine bessere Existenz zu sichern. Dabei gelte vor allem West- und Mitteleuropa und somit auch die Schweiz als Wunschdestination. Der Trend zur Auswanderung zeige sich</w:t>
      </w:r>
    </w:p>
    <w:p>
      <w:r>
        <w:t>F-3400/2023 Seite 7 erfahrungsgemäss dort besonders stark, wo durch die Anwesenheit von Verwandten oder Freunden bereits ein minimales Beziehungsnetz im Aus- land bestehe. In der Schweiz führe dies angesichts der restriktiven Zulas- sungsregelung nicht selten zur Umgehung von ausländerrechtlichen Best- immungen. Von dieser generellen Einschätzung sei nur abzuweichen, wenn dem Betroffenen besondere, über das übliche Mass hinausgehende Verpflichtungen oblägen. Das sei im Falle des ledigen und arbeitslosen Gesuchstellers nicht der Fall. Mangels anderer Belege und Umstände sei bei dieser Sachlage davon auszugehen, dass er keine besonderen beruf- lichen, familiären oder gesellschaftlichen Verpflichtungen habe, die das Ri- siko einer nicht anstandslosen Wiederausreise entscheidend reduzieren könnten. Die gegenteiligen Beteuerungen der Beschwerdeführenden könnten an dieser Einschätzung nichts ändern. Zwar bestehe kein Anlass, an ihrer Integrität zu zweifeln. Sie könnten jedoch nur für bestimmte finan- zielle Risiken, nicht aber für ein bestimmtes Verhalten des Gesuchstellers einstehen.</w:t>
      </w:r>
    </w:p>
    <w:p>
      <w:r>
        <w:rPr>
          <w:b/>
        </w:rPr>
        <w:t>E. 7.2</w:t>
      </w:r>
    </w:p>
    <w:p>
      <w:r>
        <w:t>Die Beschwerdeführenden gehen in ihrer Rechtsmitteleingabe auf die vorinstanzliche Risikobeurteilung nicht ein, sondern machen lediglich gel- tend, sowohl sie als auch der Gesuchsteller seien gehörlos. Der Gesuch- steller sei ihr bester Freund, und sie würden ihn gerne in der Schweiz will- kommen heissen.</w:t>
      </w:r>
    </w:p>
    <w:p>
      <w:r>
        <w:rPr>
          <w:b/>
        </w:rPr>
        <w:t>E. 7.3</w:t>
      </w:r>
    </w:p>
    <w:p>
      <w:r>
        <w:t>Es ist offensichtlich, dass die Beschwerdeführenden mit ihren auf Rechtsmittelebene vorgebrachten Einwänden die vorinstanzliche Beurtei- lung des Risikos einer nicht anstandslosen Wiederausreise nicht in Frage stellen können. Diese steht im Einklang mit der oben dargestellten Recht- sprechung, wobei die allgemeinen, das Herkunftsland des Gesuchstellers betreffenden, und die individuellen, den Gesuchsteller persönlich betref- fenden Gesichtspunkte rechtsfehlerfrei gewichtet wurden. Auch der Hin- weis der Vorinstanz auf die eingeschränkten Möglichkeiten des Gastge- bers, den Gast zu einem bestimmten Verhalten anzuhalten, ist zutreffend (vgl. BVGE 2014/1 E. 6.3.7; 2009/27 E. 9). Von der Vorinstanz unerwähnt blieb freilich die zumindest dem Anschein nach vergleichsweise gute wirt- schaftliche Position des Gesuchstellers. Den Akten der Schweizerischen Botschaft in Rabat kann diesbezüglich entnommen werden, dass der Ge- suchsteller eine Wohnung besitzt, die er seit 4. Oktober 2022 an eine Dritt- person vermietet, was einen monatlichen Mietzins von umgerechnet rund Fr. 500.– generiert (SEM-act. 4/68, 7/62), und dass sein Bankkonto per Februar 2023 ein Saldo von umgerechnet rund Fr. 8'000.– aufwies (SEM-act. 4/72). Gemäss einer Bescheinigung der marokkanischen</w:t>
      </w:r>
    </w:p>
    <w:p>
      <w:r>
        <w:t>F-3400/2023 Seite 8 Steuerbehörde vom 18. Juli 2022 allerdings erzielt der Gesuchsteller kein Einkommen, auch nicht aus Grundbesitz (SEM-act. 4/66). Ungeachtet des- sen, wie es sich damit verhält, ist die dargestellte wirtschaftliche Situation des Gesuchstellers für sich allein nicht geeignet, die Risikobeurteilung ent- scheidend zu seinen Gunsten zu beeinflussen. Grundeigentum und andere Vermögenswerte gehen bei einer Auswanderung denn auch nicht notwen- digerweise verloren (vgl. etwa Urteil des BVGer F-1908/2022 vom 22. Mai 2023 E. 4.3 m.H.). Die Risikobeurteilung durch die Vorinstanz ist gesamthaft nicht zu bean- standen. Zu ergänzen ist, dass eine strenge Praxis bezüglich der Anforde- rungen an die persönlichen Lebensumstände gesuchstellender Personen aus Marokko umso mehr angezeigt ist, als dieser Staat mit zuletzt stark steigender Tendenz zu den wichtigsten Herkunftsländern von Asylsuchen- den in der Schweiz gehört (Asylgesuche im Jahr 2020: 400 Personen, Asyl- gesuche im Jahr 2021: 551 Personen, Asylgesuche im Jahr 2022: 526 Per- sonen; Asylgesuche im Jahr 2023 bis Juni: 823 Personen, &lt; https://www.sem.admin.ch &gt; Publikationen &amp; Service &gt; Statistiken &gt; Asyl- statistik, abgerufen am 09.08.2023).</w:t>
      </w:r>
    </w:p>
    <w:p>
      <w:r>
        <w:rPr>
          <w:b/>
        </w:rPr>
        <w:t>E. 8</w:t>
      </w:r>
    </w:p>
    <w:p>
      <w:r>
        <w:t>Mit der fehlenden Gewähr für eine fristgerechte Wiederausreise ist eine zwingende Voraussetzung für die Erteilung eines Schengen-Visums nicht erfüllt. Gründe für die Ausstellung eines VrG-Visums nach Art. 25 VK wur- den nicht geltend gemacht und solche sind auch nicht ersichtlich.</w:t>
      </w:r>
    </w:p>
    <w:p>
      <w:r>
        <w:rPr>
          <w:b/>
        </w:rPr>
        <w:t>E. 9</w:t>
      </w:r>
    </w:p>
    <w:p>
      <w:r>
        <w:t>Aus den vorstehenden Erwägungen folgt, dass die angefochtene Verfü- gung im Lichte von Art. 49 VwVG nicht zu beanstanden ist. Die Be- schwerde ist daher abzuweisen.</w:t>
      </w:r>
    </w:p>
    <w:p>
      <w:r>
        <w:rPr>
          <w:b/>
        </w:rPr>
        <w:t>E. 10</w:t>
      </w:r>
    </w:p>
    <w:p>
      <w:r>
        <w:t>Entsprechend seinem Ausgang sind die Kosten des Verfahrens den unter- liegenden Beschwerdeführenden aufzuerlegen (Art. 63 Abs. 1 VwVG). De- ren Höhe ist in Anwendung von Art. 1 ff. des Reglements vom 21. Februar 2008 über die Kosten und Entschädigungen vor dem Bundesverwaltungs- gericht [VGKE, SR 173.320.2]) auf Fr. 400.– festzusetzen. Dabei wurde insbesondere berücksichtigt, dass auf die Durchführung eines Schriften- wechsels verzichtet werden konnte.</w:t>
      </w:r>
    </w:p>
    <w:p>
      <w:r>
        <w:t>F-3400/2023 Seite 9</w:t>
      </w:r>
    </w:p>
    <w:p>
      <w:r>
        <w:rPr>
          <w:b/>
        </w:rPr>
        <w:t>E. 11</w:t>
      </w:r>
    </w:p>
    <w:p>
      <w:r>
        <w:t>Dieses Urteil ist endgültig (Art. 83 Bst. c Ziff. 1 BGG). (Dispositiv nächste Seite)</w:t>
      </w:r>
    </w:p>
    <w:p>
      <w:r>
        <w:t>F-3400/2023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