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F-3394/2018 vom 31. August 2018</w:t>
      </w:r>
    </w:p>
    <w:p>
      <w:r>
        <w:t>Bundesverwaltungsgericht, 2018-08-31, DE</w:t>
      </w:r>
    </w:p>
    <w:p>
      <w:r>
        <w:rPr>
          <w:b/>
        </w:rPr>
        <w:t xml:space="preserve">Quelle: </w:t>
      </w:r>
      <w:r>
        <w:t>https://mcp.opencaselaw.ch/entscheid/bvger_F-3394_2018</w:t>
      </w:r>
    </w:p>
    <w:p>
      <w:r>
        <w:t>FR: TAF F-3394/2018 du 31 août 2018</w:t>
      </w:r>
    </w:p>
    <w:p>
      <w:r>
        <w:t>IT: TAF F-3394/2018 del 31 agosto 2018</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Die Beschwerdeführerin ist gemäss Art. 48 Abs. 1 VwVG zur Beschwerde legitimiert. Auf die frist- und formgerecht eingereichte Beschwerde ist einzutreten.</w:t>
      </w:r>
    </w:p>
    <w:p>
      <w:r>
        <w:rPr>
          <w:b/>
        </w:rPr>
        <w:t>E. 1.3</w:t>
      </w:r>
    </w:p>
    <w:p>
      <w:r>
        <w:t>Das Bundesverwaltungsgericht entscheidet in der vorliegenden Angelegenheit endgültig (vgl.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(vgl. Art. 49 VwVG). Das 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Der angefochtenen Verfügung liegt das Gesuch eines kubanischen Staatsangehörigen um Erteilung eines Visums für einen 90-tägigen Aufenthalt in der Schweiz zugrunde, wobei die Beschwerdeführerin im Verlauf des Verfahrens erklärte, sie sei auch mit einer 60-tägigen Dauer einverstanden (vgl. SEM act. 1 S. 6; SEM act. 6 S. 52).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3.2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21.03.2001) erforderlich ist.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bzw. ausreichende Gewähr für eine fristgerechte Wiederausreise zu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w:t>
      </w:r>
    </w:p>
    <w:p>
      <w:r>
        <w:rPr>
          <w:b/>
        </w:rPr>
        <w:t>E. 3.4</w:t>
      </w:r>
    </w:p>
    <w:p>
      <w:r>
        <w:t>Eine Gefahr für die öffentliche Ordnung im Sinne von Art. 6 Abs. 1 Bst. e SGK ist beispielsweise dann anzunehmen, wenn die drittstaatsangehörige Person nicht bereit ist, das Hoheitsgebiet des Schengen-Raums fristgerecht wieder zu verlassen (vgl. dazu Egli/Meyer, in: Caroni/Gächter/Thurnherr [Hrsg.], Stämpflis Handkommentar zum Bundesgesetz über die Ausländerinnen und Ausländer, 2010, Art. 5 N. 33). Die Behörden haben daher zu prüfen und die drittstaatsangehörige Person hat zu belegen, dass keine Gefahr einer rechtswidrigen Einwanderung oder einer nicht fristgerechten Ausreise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3.5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betreffende Mitgliedstaat u.a.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3.6</w:t>
      </w:r>
    </w:p>
    <w:p>
      <w:r>
        <w:t>Aufgrund seiner Staatszugehörigkeit unterliegt der Gesuchsteller der Visumspflicht (vgl. Anhang I zu der in E. 3.3 erwähnten Verordnung [EG] Nr. 539/2001 [zum vollständigen Quellennachweis vgl. Fussnote zu Art. 4 Abs. 1 VEV]).</w:t>
      </w:r>
    </w:p>
    <w:p>
      <w:r>
        <w:rPr>
          <w:b/>
        </w:rPr>
        <w:t>E. 4.1</w:t>
      </w:r>
    </w:p>
    <w:p>
      <w:r>
        <w:t>Die Vorinstanz begründet die Abweisung der Einsprache im Wesentlichen damit, dass die Wiederausreise des Gesuchstellers nicht gewährleistet sei. Bei der Beurteilung des Kriteriums der gesicherten Wiederausreise muss ein zukünftiges Verhalten beurteilt werden. Hierzu sind lediglich Prognosen möglich, wobei jedoch sämtliche Umstände des konkreten Einzelfalles zu würdigen sind. Dabei sind einerseits die allgemeine Lage im Herkunftsland und andererseits die individuelle Situation der gesuchstellenden Person in die Beurteilung mit einzubeziehen.</w:t>
      </w:r>
    </w:p>
    <w:p>
      <w:r>
        <w:rPr>
          <w:b/>
        </w:rPr>
        <w:t>E. 4.2.1</w:t>
      </w:r>
    </w:p>
    <w:p>
      <w:r>
        <w:t>Kubas planwirtschaftlich organisiertes Wirtschaftssystem gilt als wenig leistungsfähig und befindet sich in einem tiefgreifenden Wandlungsprozess. Das umfassende Wirtschaftsembargo der Vereinigten Staaten von Amerika (USA) sowie Umweltkatastrophen (etwa Hurrikan "Irma" im vergangenen Jahr) erschweren die wirtschaftliche Entwicklung des Landes. Zwar haben sich in den letzten Jahren zaghafte Reformen abgezeichnet, und in der staatlich gelenkten Wirtschaft wurden zunehmend selbständige Kleinunternehmer zugelassen, doch wurde im August 2017 der Prozess der Erteilung von Lizenzen für diese Tätigkeiten bis auf weiteres eingestellt. Auch versucht Kuba, die Anhängigkeit von Importen zu reduzieren, die eigene Landwirtschaft zu stärken und insbesondere den Ausbau des Tourismussektors zu fördern. Gemäss offiziellen Angaben ist das Bruttoinlandprodukt (BIP) im Jahr 2017 um 0,5 % gestiegen, doch gibt es eine zunehmende wirtschaftliche Ungleichheit, die auch durch die doppelte Währung bedingt ist. Angesichts der sehr geringen Löhne im staatlichen Sektor hat ein Grossteil der kubanischen Bevölkerung Mühe, seine Grundbedürfnisse zu befriedigen, wobei bereits das durchschnittliche Monatseinkommen mit umgerechnet knapp 29 USD sehr gering ist (vgl. zum Ganzen auch www.auswaertiges-amt.de &gt; Aussen- und Europapolitik &gt; Länderübersicht &gt; Kuba &gt; Übersicht, Innenpolitik sowie Wirtschaft, Stand April 2018, besucht im August 2018).</w:t>
      </w:r>
    </w:p>
    <w:p>
      <w:r>
        <w:rPr>
          <w:b/>
        </w:rPr>
        <w:t>E. 4.2.2</w:t>
      </w:r>
    </w:p>
    <w:p>
      <w:r>
        <w:t>Noch immer ist bei der kubanischen Bevölkerung ein Trend zur Emigration festzustellen. Zwar begeben sich die meisten Personen in die Vereinigten Staaten (vgl. Urteil des BVGer F-3587/2017 vom 24. November 2017 E. 6.4 m.H.), wo sich mittlerweile eine bedeutende Diaspora befindet. Die Erfahrung zeigt jedoch, dass ein bereits bestehendes (familiäres) Beziehungsnetz auch die Emigration in andere Länder begünstigt. Hinzu kommt noch eine Eigenheit des kubanischen Rechts, durch die kubanischen Staatsangehörigen die Rückkehr nach Kuba verwehrt werden kann, wenn die Landesabwesenheit eine gewisse Dauer überschreitet und weitere Voraussetzungen erfüllt sind, die zumindest teilweise im Einflussbereich der betroffenen Personen selbst liegen (vgl. Urteil des BVGer F-546/2016 vom 13. Juni 2017 E. 6 m.H.).</w:t>
      </w:r>
    </w:p>
    <w:p>
      <w:r>
        <w:rPr>
          <w:b/>
        </w:rPr>
        <w:t>E. 4.2.3</w:t>
      </w:r>
    </w:p>
    <w:p>
      <w:r>
        <w:t>Angesichts der geschilderten Umstände ist nicht zu beanstanden, dass die Vorinstanz das Risiko einer nicht fristgerechten Wiederausreise von Besuchern aus Kuba allgemein als hoch einschätzt.</w:t>
      </w:r>
    </w:p>
    <w:p>
      <w:r>
        <w:rPr>
          <w:b/>
        </w:rPr>
        <w:t>E. 4.3.1</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4.3.2</w:t>
      </w:r>
    </w:p>
    <w:p>
      <w:r>
        <w:t>Beim Gesuchsteller handelt es sich um einen heute 51-jährigen ledigen Mann, der momentan keiner Erwerbstätigkeit nachgeht. Er und die Beschwerdeführerin haben sich im Jahr 2007 bzw. 2008 über das Internet kennengelernt. Seither habe die Beschwerdeführerin Kuba zwei- bis dreimal pro Jahr besucht, wodurch eine tiefe Freundschaft entstanden sei. Auch habe ihr der Gesuchsteller bei diesen Gelegenheiten viel über sein Land beigebracht. Nun möchte sie ihm etwas zurückgeben, indem sie ihn in die Schweiz einlade.</w:t>
      </w:r>
    </w:p>
    <w:p>
      <w:r>
        <w:rPr>
          <w:b/>
        </w:rPr>
        <w:t>E. 4.3.3</w:t>
      </w:r>
    </w:p>
    <w:p>
      <w:r>
        <w:t>Entgegen den anderslautenden Angaben in der angefochtenen Verfügung, wonach der Gesuchsteller "keine Kinder" habe, geht aus den Akten hervor, dass er Vater eines Sohnes ist (vgl. SEM act. 4 S. 31 sowie SEM act. S. 52). Ansonsten ist hinsichtlich seiner persönlichen Lebensumstände nur wenig bekannt. Er lebt mit seiner Schwester seit 2015 "in Eigentum". Ferner leben seine Eltern und Geschwister sowie weitere Verwandte in Kuba (vgl. SEM act. 4 S. 31). Zwar lassen sich aus diesen Vorbringen gewisse familiäre Bindungen des Gesuchstellers erkennen. Hingegen besteht kein Abhängigkeitsverhältnis zwischen ihm und seinen Familienangehörigen. Der Gesuchsteller möchte sich 90 bzw. 60 Tage in der Schweiz aufhalten. Folglich ist davon auszugehen, dass er für seine Familie abkömmlich ist. Mangels weiterer und konkreter Angaben ist jedenfalls nicht davon auszugehen, dass im persönlichen oder familiären Umfeld des Gesuchstellers Verpflichtungen bestehen, die besondere Gewähr für eine Rückkehr ins Heimatland bieten könnten.</w:t>
      </w:r>
    </w:p>
    <w:p>
      <w:r>
        <w:rPr>
          <w:b/>
        </w:rPr>
        <w:t>E. 4.3.4</w:t>
      </w:r>
    </w:p>
    <w:p>
      <w:r>
        <w:t>Entsprechend grosse Bedeutung kommt deshalb den wirtschaftlichen Verhältnissen des Beschwerdeführers zu. Aktenkundig besitzt er ein "Licenciado en Fisica" (vgl. SEM act. 4 S. 38). Zuletzt habe er als Informatiker in der Direktion eines grösseren Betriebs in Kuba gearbeitet. Im Moment arbeite er nicht und lebe von seinen Ersparnissen (vgl. SEM act. 4 S. 31). In welcher Höhe sich seine Ersparnisse bewegen, geht jedoch aus den Akten nicht hervor. Doch unabhängig davon kann selbst ein Vermögen - oder auch Grundbesitz - keine hinreichende Gewähr für eine fristgerechte und anstandslose Wiederausreise des Gesuchstellers leisten, da auch im Fall einer Migration solche Vermögenswerte nicht verloren gehen. In ihrem Antwortschreiben an das kantonale Migrationsamt hebt die Beschwerdeführerin hervor, der Beschwerdeführer plane eine Erwerbstätigkeit im Tourismusbereich. Er bilde sich im interkulturellen Austausch mit Touristen weiter und plane, sein Haus ausländischen Studenten zur Verfügung zu stellen und Touristen als Guide durch Kuba zu führen. Zudem wolle er eine Bewilligung für die Entwicklung von Software beantragen (vgl. SEM act. 6 S. 52). Bezeichnenderweise fehlen jedoch konkretere Angaben über die geplante Tätigkeit als Guide oder welche Schritte für die künftige Beherbergung von Studenten getätigt wurden. Auch erstaunt, dass einerseits eine neue berufliche Herausforderung im Heimatland angestrebt wird, andererseits hingegen ein mehrmonatiger Aufenthalt in der Schweiz ins Auge gefasst wird, zumal der Beschwerdeführer dadurch wertvolle Zeit für die Erledigung massgeblicher Vorbereitungen, um wieder über eine gesicherte wirtschaftliche Existenz in seinem Heimatland zu verfügen, verliert. Infolgedessen vermag allein der Hinweis auf eine (geplante) positive Zukunft das Risiko einer nicht fristgerechten Rückkehr nicht entscheidend zu verringern.</w:t>
      </w:r>
    </w:p>
    <w:p>
      <w:r>
        <w:rPr>
          <w:b/>
        </w:rPr>
        <w:t>E. 4.4</w:t>
      </w:r>
    </w:p>
    <w:p>
      <w:r>
        <w:t>Nach dem Gesagten ist die Schlussfolgerung der Vorinstanz, wonach die Wiederausreise des Gesuchstellers angesichts der allgemeinen Lage in Kuba und seiner individuellen Situation nicht als gesichert angesehen werden könne, nicht zu beanstanden. Der verständliche Wunsch der Beschwerdeführerin, dem Gesuchsteller die Schweiz zeigen und allenfalls eine gemeinsame Zukunft in Kuba planen zu können, aber auch der Umstand, wonach die Einladung von ihr ausgesprochen worden sei, ohne dass sich der Gesuchsteller entsprechend geäussert habe, können an dieser Beurteilung nichts ändern. Auch die Zusicherung der Beschwerdeführerin, sie werde dafür sorgen, dass der Gesuchsteller die Schweiz wieder verlasse, kann zu keiner anderen Einschätzung führen. Denn eine solche Garantie ist weder faktisch noch rechtlich durchsetzbar. Gastgeber können zwar für gewisse finanzielle Risiken im Zusammenhang mit einem Besuchsaufenthalt, nicht jedoch für ein bestimmtes Verhalten ihrer Gäste garantieren (vgl. BVGE 2009/27 E. 9). Es fehlt daher an einer unabdingbaren Voraussetzung für die Erteilung eines einheitlichen Visums für den gesamten Schengen-Raum. Gründe für die Ausstellung eines Visums mit räumlich beschränkter Gültigkeit (vgl. E. 3.5) sind nicht ersichtlich.</w:t>
      </w:r>
    </w:p>
    <w:p>
      <w:r>
        <w:rPr>
          <w:b/>
        </w:rPr>
        <w:t>E. 5</w:t>
      </w:r>
    </w:p>
    <w:p>
      <w:r>
        <w:t>Aus diesen Darlegungen folgt, dass die angefochtene Verfügung im Lichte von Art. 49 VwVG nicht zu beanstanden ist. Die Beschwerde ist daher abzuweisen.</w:t>
      </w:r>
    </w:p>
    <w:p>
      <w:r>
        <w:rPr>
          <w:b/>
        </w:rPr>
        <w:t>E. 6</w:t>
      </w:r>
    </w:p>
    <w:p>
      <w:r>
        <w:t>Bei diesem Ausgang des Verfahrens sind die Kosten der Beschwerdeführerin aufzuerlegen (vgl. Art. 63 Abs. 1 i.v.m. Art. 1 und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