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F-3391/2025 vom 14. Mai 2025</w:t>
      </w:r>
    </w:p>
    <w:p>
      <w:r>
        <w:t>Bundesverwaltungsgericht, 2025-05-14, DE</w:t>
      </w:r>
    </w:p>
    <w:p>
      <w:r>
        <w:rPr>
          <w:b/>
        </w:rPr>
        <w:t xml:space="preserve">Quelle: </w:t>
      </w:r>
      <w:r>
        <w:t>https://mcp.opencaselaw.ch/entscheid/bvger_F-3391_2025</w:t>
      </w:r>
    </w:p>
    <w:p>
      <w:r>
        <w:t>FR: TAF F-3391/2025 du 14 mai 2025</w:t>
      </w:r>
    </w:p>
    <w:p>
      <w:r>
        <w:t>IT: TAF F-3391/2025 del 14 maggio 2025</w:t>
      </w:r>
    </w:p>
    <w:p>
      <w:pPr>
        <w:pStyle w:val="Heading2"/>
      </w:pPr>
      <w:r>
        <w:t>Regeste</w:t>
      </w:r>
    </w:p>
    <w:p>
      <w:r>
        <w:t>Nichteintreten auf Asylgesuch und Wegweisung (Dublin-Verfahren - Art. 31a Abs. 1 Bst. b AsylG)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Das Verfahren richtet sich nach dem VwVG, dem VGG und dem BGG, soweit das AsylG (SR 142.31) nichts anderes bestimmt (Art. 37 VGG und Art. 6 AsylG).</w:t>
      </w:r>
    </w:p>
    <w:p>
      <w:r>
        <w:rPr>
          <w:b/>
        </w:rPr>
        <w:t>E. 1.2</w:t>
      </w:r>
    </w:p>
    <w:p>
      <w:r>
        <w:t>Die Beschwerde ist zulässig (Art. 105 AsylG; Art. 31 ff. VGG). Die übri- gen Sachurteilsvoraussetzungen (Legitimation [Art. 48 Abs. 1 VwVG], Frist [Art. 108 Abs. 3 AsylG, vgl. Urteil des BGer 2C_213/2024 vom 19. Juni 2024 E. 3.1 m.w.H. in Bezug auf die Abgabe der Sendung mit «My Post 24»], und Form [Art. 52 Abs. 1 VwVG]) sind erfüllt, sodass auf die Be- schwerde einzutreten ist.</w:t>
      </w:r>
    </w:p>
    <w:p>
      <w:r>
        <w:rPr>
          <w:b/>
        </w:rPr>
        <w:t>E. 2.1</w:t>
      </w:r>
    </w:p>
    <w:p>
      <w:r>
        <w:t>Mit Beschwerde kann die Verletzung von Bundesrecht (einschliesslich Missbrauch und Überschreiten des Ermessens) sowie die unrichtige oder unvollständige Feststellung des rechtserheblichen Sachverhalts gerügt werden (Art. 106 Abs. 1 AsylG).</w:t>
      </w:r>
    </w:p>
    <w:p>
      <w:r>
        <w:rPr>
          <w:b/>
        </w:rPr>
        <w:t>E. 2.2</w:t>
      </w:r>
    </w:p>
    <w:p>
      <w:r>
        <w:t>Die Beschwerde erweist sich als offensichtlich unbegründet, weshalb sie im Verfahren einzelrichterlicher Zuständigkeit mit Zustimmung einer zweiten Richterin beziehungsweise eines zweiten Richters (Art. 111 Bst. e AsylG), ohne Durchführung eines Schriftenwechsels und mit summari- scher Begründung zu behandeln ist (Art. 111a Abs. 1 und 2 AsylG).</w:t>
      </w:r>
    </w:p>
    <w:p>
      <w:r>
        <w:rPr>
          <w:b/>
        </w:rPr>
        <w:t>E. 3.1</w:t>
      </w:r>
    </w:p>
    <w:p>
      <w:r>
        <w:t>Die Vorinstanz hat korrekt erwogen, dass gestützt auf Art. 18 Abs. 1 Bst. b Dublin-III-VO grundsätzlich Polen für die Behandlung des Asylgesu- ches der Beschwerdeführerin zuständig ist, dass das polnische Asylsystem rechtsprechungsgemäss keine systemischen Schwachstellen aufweist (vgl. statt vieler zuletzt Urteile des BVGer F-3025/2025 vom 2. Mai 2025 E. 3.1; F-2669/2025 vom 24. April 2025 E. 3.2 m.w.H, F-911/2025 vom 17. Februar 2025 E. 2.1), aufgrund derer die Zuständigkeit gemäss Art. 3 Abs. 2 Dublin-III-VO auf die Schweiz überginge, und dass vorliegend keine völkerrechtlichen Vollzugshindernisse ersichtlich sind, welche die Schweiz zu einem Selbsteintritt nach Art. 17 Abs. 1 Dublin-III-VO und Art. 29a Abs. 3 der Asylverordnung 1 vom 11. August 1999 (AsylV 1, SR 142.311) ver- pflichten würden. Dabei hat sie insbesondere die Vorbringen der Be- schwerdeführerin im Hinblick auf ihren Gesundheitszustand (namentlich ei- ner postoperativen Wunde am Fuss sowie Beschwerden im Intimbereich und mit den Augen) berücksichtigt und rechtsprechungskonform gewürdigt.</w:t>
      </w:r>
    </w:p>
    <w:p>
      <w:r>
        <w:t>F-3391/2025 Seite 4 Die Vorinstanz ist demnach zu Recht in Anwendung von Art. 31a Abs. 1 Bst. b AsylG auf das Asylgesuch der Beschwerdeführerin nicht eingetreten und hat in Anwendung von Art. 44 AsylG ihre Wegweisung nach Polen an- geordnet. Zur näheren Begründung ist auf die vorinstanzlichen Erwägun- gen zu verweisen.</w:t>
      </w:r>
    </w:p>
    <w:p>
      <w:r>
        <w:rPr>
          <w:b/>
        </w:rPr>
        <w:t>E. 3.2</w:t>
      </w:r>
    </w:p>
    <w:p>
      <w:r>
        <w:t>Was die Beschwerdeführerin auf Rechtsmittelebene vorbringt, vermag nichts an der Richtigkeit der angefochtenen Verfügung zu ändern. Nach- dem das Asylverfahren in Polen rechtsprechungsgemäss keine systemi- schen Schwachstellen aufweist (vgl. E. 3.1 hiervor) erübrigen sich Weite- rungen zur geltend gemachten Gefahr einer allfälligen Kettenabschiebung (einlässlich dazu Urteil des EuGH vom 30. November 2023, verbundene Rechtssachen C-228/21, C-254/21, C-297/21, C-315/21 und C-328/21, §§ 129-142 und Ziff. 2 des Dispositivs). Es ist zudem daran zu erinnern, dass weder die Dublin-III-VO noch andere völkerrechtliche Bestimmungen ein Recht einräumen, den für die Durchführung des Asylverfahrens zuständi- gen Staat selber frei zu wählen (BVGE 2010/45 E. 8.3). Bei Beschwerden gegen Nichteintretensentscheide, mit denen es die Vorinstanz ablehnt, das Asylgesuch auf seine Begründetheit hin zu überprüfen (Art. 31a Abs. 1 AsylG), ist die Beurteilungskompetenz des Gerichts ferner grundsätzlich auf die Frage beschränkt, ob die Vorinstanz zu Recht auf das Asylgesuch nicht eingetreten ist (vgl. BVGE 2017 VI/5 E. 3.1; 2012/4 E. 2.2, je m.w.H.). Damit erübrigen sich auch Weiterungen zu den geschilderten Vorkomm- nissen in Äthiopien.</w:t>
      </w:r>
    </w:p>
    <w:p>
      <w:r>
        <w:rPr>
          <w:b/>
        </w:rPr>
        <w:t>E. 4</w:t>
      </w:r>
    </w:p>
    <w:p>
      <w:r>
        <w:t>Die angefochtene Verfügung ist folglich nicht zu beanstanden (Art. 106 AsylG). Die Beschwerde ist abzuweisen.</w:t>
      </w:r>
    </w:p>
    <w:p>
      <w:r>
        <w:rPr>
          <w:b/>
        </w:rPr>
        <w:t>E. 5.1</w:t>
      </w:r>
    </w:p>
    <w:p>
      <w:r>
        <w:t>Mit dem vorliegenden Urteil ist das Beschwerdeverfahren abgeschlos- sen, weshalb sich das Gesuch um Verzicht auf Erhebung eines Kostenvor- schusses als gegenstandslos geworden erweist und der angeordnete Voll- zugsstopp mit heutigem Urteil dahinfällt.</w:t>
      </w:r>
    </w:p>
    <w:p>
      <w:r>
        <w:rPr>
          <w:b/>
        </w:rPr>
        <w:t>E. 5.2</w:t>
      </w:r>
    </w:p>
    <w:p>
      <w:r>
        <w:t>Das Gesuch um Gewährung der unentgeltlichen Prozessführung ist abzuweisen, da die Begehren – wie sich aus den vorstehenden Erwägun- gen ergibt – von vornherein als aussichtslos zu bezeichnen waren. Die Ver- fahrenskosten sind der unterliegenden Beschwerdeführerin aufzuerlegen (Art. 63 Abs. 1 VwVG) und auf insgesamt Fr. 750.– festzusetzen (Art. 1 ff.</w:t>
      </w:r>
    </w:p>
    <w:p>
      <w:r>
        <w:t>F-3391/2025 Seite 5 des Reglements vom 21. Februar 2008 über die Kosten und Entschädigun- gen vor dem Bundesverwaltungsgericht [VGKE, SR 173.320.2]).</w:t>
      </w:r>
    </w:p>
    <w:p>
      <w:r>
        <w:rPr>
          <w:b/>
        </w:rPr>
        <w:t>E. 6</w:t>
      </w:r>
    </w:p>
    <w:p>
      <w:r>
        <w:t>Dieses Urteil ist endgültig (Art. 83 Bst. d Ziff. 1 BGG).</w:t>
      </w:r>
    </w:p>
    <w:p>
      <w:r>
        <w:t>(Dispositiv nächste Seite)</w:t>
      </w:r>
    </w:p>
    <w:p>
      <w:r>
        <w:t>F-3391/2025 Seite 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