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F-3370/2021 vom 29. Juli 2021</w:t>
      </w:r>
    </w:p>
    <w:p>
      <w:r>
        <w:t>Bundesverwaltungsgericht, 2021-07-29, DE</w:t>
      </w:r>
    </w:p>
    <w:p>
      <w:r>
        <w:rPr>
          <w:b/>
        </w:rPr>
        <w:t xml:space="preserve">Quelle: </w:t>
      </w:r>
      <w:r>
        <w:t>https://mcp.opencaselaw.ch/entscheid/bvger_F-3370_2021</w:t>
      </w:r>
    </w:p>
    <w:p>
      <w:r>
        <w:t>FR: TAF F-3370/2021 du 29 juillet 2021</w:t>
      </w:r>
    </w:p>
    <w:p>
      <w:r>
        <w:t>IT: TAF F-3370/2021 del 29 luglio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In formeller Hinsicht rügt die Parteivertreterin, die Vorinstanz sei ihrer Begründungspflicht weder mit Blick auf den medizinischen Sachverhalt noch in Bezug auf die persönlichen Angaben des Beschwerdeführers und die aktuelle Situation von Asylsuchenden in Rumänien nachgekommen. Der Anspruch auf rechtliches Gehör verlangt, dass die verfügende Behörde die Vorbringen der Betroffenen tatsächlich hört, sorgfältig und ernsthaft prüft und in der Entscheidfindung berücksichtigt, was sich entsprechend in der Begründung niederschlagen muss. Nicht erforderlich ist, dass sich die Begründung mit allen Parteistandpunkten einlässlich auseinandersetzt und jedes einzelne Vorbringen ausdrücklich widerlegt.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(BGE 137 II 266 E. 3.2; 136 I 229 E. 5.2; 136 V 351 E. 4.2).</w:t>
      </w:r>
    </w:p>
    <w:p>
      <w:r>
        <w:rPr>
          <w:b/>
        </w:rPr>
        <w:t>E. 4.2</w:t>
      </w:r>
    </w:p>
    <w:p>
      <w:r>
        <w:t>Das SEM stellte sich in der angefochtenen Verfügung auf den Standpunkt, dass sich Rumänien an die einschlägigen internationalen Verpflichtungen halte und keine systemischen Mängel im Asylsystem vorlägen. Unter anderem unter Verweis auf zwei Urteile des Bundesverwaltungsgerichts hat es seine Ansicht begründet, weshalb es davon ausgehe, dass eine Überstellung des Beschwerdeführers im Rahmen der Dublin-III-VO zulässig sei und ein Selbsteintritt nicht angezeigt erscheine. Auch mit den Schilderungen des Beschwerdeführers und den ärztlichen Berichten hat sich die Vorinstanz auseinandergesetzt und dargetan, weshalb der medizinische Sachverhalt aus ihrer Sicht ausreichend erstellt ist und die geltend gemachten Probleme mit Polizisten in Rumänien an der vorgenommenen Einschätzung nichts zu ändern vermöchten. Unter den dargelegten Umständen war für den Beschwerdeführer ohne weiteres erkennbar, von welchen Motiven sich das SEM bei seinem Entscheid leiten liess, und er war in der Lage, seine Parteirechte sachgerecht wahrzunehmen. Eine Verletzung der Begründungspflicht ist mithin nicht erkennbar, weshalb auch kein Anlass für eine Rückweisung an das SEM besteht.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welche ihren Antrag während der Antragsprüfung zurückgezogen und in einem anderen Mitgliedstaat einen Antrag gestellt hat oder die sich im Hoheitsgebiet eines anderen Mitgliedstaats ohne Aufenthaltstitel aufhält, nach Massgabe der Artikel 23, 24, 25 und 29 wiederaufzunehmen (Art. 18 Abs. 1 Bst. c Dublin-III-VO). Die Dublin-III-VO räumt den Schutzsuchenden kein Recht ein, den ihren Antrag prüfenden Staat selber auszuwählen (vgl. BVGE 2010/45 E. 8.3).</w:t>
      </w:r>
    </w:p>
    <w:p>
      <w:r>
        <w:rPr>
          <w:b/>
        </w:rPr>
        <w:t>E. 6.1</w:t>
      </w:r>
    </w:p>
    <w:p>
      <w:r>
        <w:t>Ein Abgleich der Fingerabdrücke des Beschwerdeführers mit der «Eurodac»-Datenbank ergab, dass er am 31. Dezember 2020 in Rumänien um Asyl nachgesucht hatte (SEM act. 13). Die rumänischen Behörden stimmten dem Übernahmeersuchen am 13. Mai 2021 zu. Die Zustimmung stützte sich auf Art. 18 Abs. 1 Bst. c Dublin-III-VO. Den begleitenden Bemerkungen hierzu ist zu entnehmen, dass die rumänischen Behörden das Asylverfahren als zurückgezogen erachteten, weil der Betroffene das Aufnahmezentrum am 9. Januar 2021 verlassen hatte (SEM act. 50). Die grundsätzliche Zuständigkeit Rumäniens ist somit gegeben und wird auf Beschwerdeebene auch nicht bestritten.</w:t>
      </w:r>
    </w:p>
    <w:p>
      <w:r>
        <w:rPr>
          <w:b/>
        </w:rPr>
        <w:t>E. 6.2</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(E. 7) und ob nach Art. 17 Abs. 1 Dublin-III-VO das Selbsteintrittsrecht auszuüben ist (E. 8).</w:t>
      </w:r>
    </w:p>
    <w:p>
      <w:r>
        <w:rPr>
          <w:b/>
        </w:rPr>
        <w:t>E. 7.1</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Publikationen zu entnehmen, dass die Situation von Asylsuchenden sowie Migrantinnen und Migranten in Rumänien teilweise problematisch ist. Dennoch geht das Gericht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Für eine Änderung der geltenden Rechtsprechung besteht unter Berücksichtigung der vom Beschwerdeführer gemachten Äusserungen zu seiner Behandlung in Rumänien ebenfalls keine Veranlassung (vgl. etwa Urteile des BVGer F-2570/2021 vom 7. Juni 2021 E. 7.1, F-1123/2021 vom 24. März 2021 E. 4.2, F-1186/2021 vom 24. März 2021 E. 4, E-350/2021 vom 1. Februar 2021 E. 8.1, E-5656/2020 vom 22. Januar 2021 E. 6.1, D-6557/2020 vom 7. Januar 2021 E. 9.3, F-6222/2020 vom 16. Dezember 2020 E. 7.3 oder F-5474/2020 vom 13. November 2020 E. 4.1).</w:t>
      </w:r>
    </w:p>
    <w:p>
      <w:r>
        <w:rPr>
          <w:b/>
        </w:rPr>
        <w:t>E. 7.2</w:t>
      </w:r>
    </w:p>
    <w:p>
      <w:r>
        <w:t>Unter diesen Umständen ist die Anwendung von Art. 3 Abs. 2 Dublin-III-VO nicht gerechtfertigt.</w:t>
      </w:r>
    </w:p>
    <w:p>
      <w:r>
        <w:rPr>
          <w:b/>
        </w:rPr>
        <w:t>E. 8.1</w:t>
      </w:r>
    </w:p>
    <w:p>
      <w:r>
        <w:t>Der Beschwerdeführer fordert die Anwendung der Ermessensklauseln von Art. 17 Abs. 1 Dublin-III-VO und von Art. 29a Abs. 3 der Asylverordnung 1 vom 11. August 1999 (AsylV 1, SR 142.311). Es ist daher zu prüfen, ob aufgrund seiner persönlichen Situation von einer Überstellung nach Rumänien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8.2</w:t>
      </w:r>
    </w:p>
    <w:p>
      <w:r>
        <w:t>Die rumänischen Behörden stimmten der Wiederaufnahme des Beschwerdeführers gestützt auf Art. 18 Abs. 1 Bst. c Dublin-III-VO zu und hielten fest, dass das Asylverfahren am 15. Februar 2021 eingestellt beziehungsweise abgeschlossen worden sei, weil er das Aufnahmezentrum rund einen Monat zuvor verlassen habe. Als Dublin-Rückkehrer steht es ihm allerdings offen, ein Folgegesuch zu stellen. Ungeachtet der in diesem Zusammenhang unter Hinweis auf den Bericht der SFH gehegten Bedenken obliegt es weiterhin den rumänischen Behörden, das (folgende) Asylverfahren bis zu einem allfälligen Wegweisungsvollzug beziehungsweise einer Regelung des Aufenthalts im Einklang mit den völkerrechtlichen Verpflichtungen durchzuführen. Der Beschwerdeführer hat nicht hinreichend dargelegt, die rumänischen Behörden würden sich weigern, seinen Antrag auf internationalen Schutz unter Einhaltung der Regeln der Verfahrensrichtlinie zu prüfen.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Hervorzuheben gilt es an dieser Stelle, dass der Beschwerdeführer in Rumänien - wenn auch angeblich gegen seinen Willen - als Asylsuchender registriert wurde, er das Land jedoch verlassen hat, bevor über sein Asylgesuch befunden wurde. Seine Ausreise erfolgte mit anderen Worten freiwillig und die rumänischen Behörden haben nicht versucht, ihn nach Afghanistan oder in ein anderes Land zu bringen.</w:t>
      </w:r>
    </w:p>
    <w:p>
      <w:r>
        <w:rPr>
          <w:b/>
        </w:rPr>
        <w:t>E. 8.3</w:t>
      </w:r>
    </w:p>
    <w:p>
      <w:r>
        <w:t>Des Weiteren finden sich in den Akten keine konkreten Hinweise für die Annahme, Rumänien würde dem Beschwerdeführer dauerhaft die ihm gemäss Aufnahmerichtlinie zustehenden minimalen Lebensbedingungen vorenthalten. Es kann offenbleiben, ob sein Vorbringen, gegen seinen Willen als Asylsuchender registriert und danach von Polizisten geschlagen worden zu sein, glaubhaft erscheint. Aus diesem Vorfall könnte jedenfalls nicht geschlossen werden, die ihn bei einer Rückführung zu erwartenden Bedingungen seien derart schlecht, dass sie zu einer Verletzung von Art. 4 der Grundrechtecharta, Art. 3 EMRK oder Art. 3 FoK führen könnten. Was die behaupteten Missstände in den Asylunterkünften anbelangt, so finden sich hierzu keine konkreten Äusserungen seitens des Beschwerdeführers (siehe Dublin-Gespräch, SEM act. 33). Abgesehen davon hat er gerade mal neun Tage in den rumänischen Asylstrukturen verbracht, weswegen den diesbezüglich erhobenen Rügen, losgelöst von sonstigen Ungereimtheiten, schon deshalb die Grundlage entzogen ist. Zudem steht ihm die Möglichkeit offen, die vor Ort tätigen karitativen Organisationen zu kontaktieren. Zu den geltend gemachten negativen Erfahrungen mit der Polizei (Wegnahme von Taschen, Handy und Geld, Schläge) schliesslich lässt sich festhalten, dass Rumänien ein Rechtsstaat ist und die Behörden grundsätzlich gewillt und fähig sind, staatlichen Schutz zu gewähren, weshalb sich der Beschwerdeführer gegebenenfalls an die dafür zuständigen Stellen beziehungsweise an die Justiz wenden kann. Es besteht daher kein Anlass, von der unter E. 7.1 skizzierten Rechtsprechung abzuweichen.</w:t>
      </w:r>
    </w:p>
    <w:p>
      <w:r>
        <w:rPr>
          <w:b/>
        </w:rPr>
        <w:t>E. 8.4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8.5</w:t>
      </w:r>
    </w:p>
    <w:p>
      <w:r>
        <w:t>Eine solche Situation liegt nicht vor. Der Beschwerdeführer erklärte anlässlich des Dublin-Gesprächs vom 26. Mai 2021, dass es ihm gesundheitlich gut gehe. Zwar sei er vergesslich geworden, was auch von seinen Sorgen herrühre. Ein Betreuer habe ihn jedoch seelisch wiederaufgebaut. Wegen später aufgetretener Schmerzen unterzog er sich im darauffolgenden Monat mehrmals ärztlichen Kontrollen. Aktenkundig sind vier Arztberichte beziehungsweise Behandlungseinträge, woraus hervorgeht, dass beim Beschwerdeführer Hämorrhoiden und eine Schwellung am Hals (Schilddrüsenknoten) diagnostiziert wurden. Zur Behandlung der Hämorrhoiden erhielt er eine Creme, zur Punktion des Schilddrüsenknotens wurde er in an die Nuklearmedizin der Klinik X._______ verwiesen (siehe SEM act. 37, 48 und 49 sowie Beschwerdebeilage 5). Dem Vorwurf der zugewiesenen Rechtsvertretung, das SEM verwende mit dem Begriff «Lymphadenopathie» eine nicht aktenkundige Krankheitsbeschreibung, gilt es zu entgegnen, dass dieser Begriff auf Seite 2 des Laborberichts vom 16. Juni 2021 der Radiologie des Spitals Thurgau figuriert (SEM act. 48); die Vorinstanz hat also keineswegs eine Selbstdiagnose vorgenommen. Die diagnostizierten Beschwerden stellen keine derart gravierenden gesundheitlichen Beeinträchtigungen dar, dass im Falle der Überstellung nach Rumänien mit dem Risiko einer ernsten, raschen und unwiederbringlichen Verschlechterung des Gesundheitszustandes des Betroffenen gerechnet werden müsste. Eine Überstellung des Beschwerdeführers steht Art. 3 EMRK somit nicht entgegen.</w:t>
      </w:r>
    </w:p>
    <w:p>
      <w:r>
        <w:rPr>
          <w:b/>
        </w:rPr>
        <w:t>E. 8.6</w:t>
      </w:r>
    </w:p>
    <w:p>
      <w:r>
        <w:t>Zu keinem anderen Ergebnis führt, dass das SEM die laut Beschwerdeschrift auf den 5. August 2021 terminierte Punktion des Schilddrüsenknotens nicht abgewartet hat. Er wurde in der Schweiz, wie eben dargetan, medizinisch versorgt und behandelt. In Bezug auf das Vorliegen einer schwerwiegenden Erkrankung - gemäss Arztbericht vom 16. Juni 2021 liegt keine Lympfhadenopathie (dauerhafte krankhafte Schwellung von Lymphknoten) vor - wären von zusätzlichen medizinischen Abklärungen keine neuen Erkenntnisse zu erwarten gewesen (zur antizipierten Beweiswürdigung vgl. BGE 141 I 60 E. 3.3 oder BGE 136 I 229 E. 5.3). Sofern der Eingriff nicht wie geplant durchgeführt werden könnte, wäre eine Behandlung dieses Leidens auch in Rumänien möglich. Ebenso wenig bedurfte es bei den Arztterminen aufgrund der Art und Schwere der gesundheitlichen Beeinträchtigungen stets der Anwesenheit einer Dolmetscherin oder eines Dolmetschers. Es ist deshalb nicht zu beanstanden, dass die Vorinstanz diesbezüglich keine weiteren Vorkehren getroffen hat und mit der angefochtenen Verfügung nicht zuwartete. Somit liegt keine Verletzung des Untersuchungsgrundsatzes vor. Die auf Beschwerdeebene erhobene Rüge der nicht rechtsgenüglichen Abklärung des medizinischen Sachverhalts erweist sich somit als nicht stichhaltig.</w:t>
      </w:r>
    </w:p>
    <w:p>
      <w:r>
        <w:rPr>
          <w:b/>
        </w:rPr>
        <w:t>E. 8.7</w:t>
      </w:r>
    </w:p>
    <w:p>
      <w:r>
        <w:t>Im Übrigen geht das Bundesverwaltungsgericht in ständiger Rechtsprechung davon aus, dass Rumänien über eine ausreichende medizinische Infrastruktur verfügt (vgl. etwa Urteile F-2570/2021 E. 8.7, F-1186/2021 E. 5.5.3, E-350/2021 E. 8.2.2 oder E-5656/2020 E. 6.3.2). Es liegen keine substantiierten Hinweise zur Annahme der Gefahr vor, dass Rumänien dem Beschwerdeführer im Falle der Überstellung eine adäquate medizinische Behandlung verweigern würde. Festzuhalten ist darüber hinaus, dass die schweizerischen Behörden, die mit dem Vollzug der angefochten Verfügung beauftragt sind, allfällig bestehenden besonderen medizinischen Bedürfnissen bei der Bestimmung der konkreten Modalitäten der Überstellung des Beschwerdeführers Rechnung tragen und die rumänischen Behörden vorgängig darüber informieren (vgl. Art. 31 f. Dublin-III-VO). Dies ist vorliegend bereit geschehen, sind die beschriebenen Diagnosen (Vergesslichkeit, Hämorrhoiden, Schilddrüsenprobleme) doch in den Überstellungsmodalitäten aufgelistet (SEM act. 52).</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Rumänien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12</w:t>
      </w:r>
    </w:p>
    <w:p>
      <w:r>
        <w:t>Nach dem Gesagten ist die Beschwerde abzuweisen und die Verfügung des SEM zu bestätigen.</w:t>
      </w:r>
    </w:p>
    <w:p>
      <w:r>
        <w:rPr>
          <w:b/>
        </w:rPr>
        <w:t>E. 13</w:t>
      </w:r>
    </w:p>
    <w:p>
      <w:r>
        <w:t>Der am 26. Juli 2021 angeordnete Vollzugsstopp fällt mit vorliegendem Urteil dahin.</w:t>
      </w:r>
    </w:p>
    <w:p>
      <w:r>
        <w:rPr>
          <w:b/>
        </w:rPr>
        <w:t>E. 14</w:t>
      </w:r>
    </w:p>
    <w:p>
      <w:r>
        <w:t>Das in der Beschwerde gestellte Gesuch um Gewährung der unentgeltlichen Prozessführung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