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F-3361/2017 vom 23. Februar 2018</w:t>
      </w:r>
    </w:p>
    <w:p>
      <w:r>
        <w:t>Bundesverwaltungsgericht, 2018-02-23, DE</w:t>
      </w:r>
    </w:p>
    <w:p>
      <w:r>
        <w:rPr>
          <w:b/>
        </w:rPr>
        <w:t xml:space="preserve">Quelle: </w:t>
      </w:r>
      <w:r>
        <w:t>https://mcp.opencaselaw.ch/entscheid/bvger_F-3361_2017</w:t>
      </w:r>
    </w:p>
    <w:p>
      <w:r>
        <w:t>FR: TAF F-3361/2017 du 23 février 2018</w:t>
      </w:r>
    </w:p>
    <w:p>
      <w:r>
        <w:t>IT: TAF F-3361/2017 del 23 febbraio 2018</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als Verfügungsadressatin zur Beschwerde legitimiert (Art. 48 Abs. 1 VwVG). Die übrigen Sachurteilsvoraussetzungen sind ebenfalls erfüllt (vgl.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Die Beschwerdeführerin hält in verfahrensrechtlicher Hinsicht mehrfach fest, dass ihr das rechtliche Gehör nicht gewährt worden sei. Gleichzeitig verzichtet sie auf eine explizite Rüge. Gehörsverletzungen sind indessen unabhängig von ausdrücklichen Anträgen grundsätzlich von Amtes wegen zu prüfen.</w:t>
      </w:r>
    </w:p>
    <w:p>
      <w:r>
        <w:rPr>
          <w:b/>
        </w:rPr>
        <w:t>E. 3.2</w:t>
      </w:r>
    </w:p>
    <w:p>
      <w:r>
        <w:t>Der Anspruch auf rechtliches Gehör umfasst unter anderem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Waldmann/Weissenberger, Praxiskommentar VwVG, 2. Aufl. 2016, Art. 29 N. 80 ff., Art. 30 N. 3 ff. u. Art. 32 N. 8 ff.; Kölz/Häner/Bertschi, Verwaltungsverfahren und Verwaltungsrechtspflege des Bundes, 3. Aufl., 2013, N. 214 ff. u. N. 546 f.).</w:t>
      </w:r>
    </w:p>
    <w:p>
      <w:r>
        <w:rPr>
          <w:b/>
        </w:rPr>
        <w:t>E. 3.3</w:t>
      </w:r>
    </w:p>
    <w:p>
      <w:r>
        <w:t>Entgegen dem Vorbringen der Beschwerdeführerin wurde ihr vor Erlass des Einreiseiverbots das rechtliche Gehör am 28. Dezember 2016 gewährt (SEM act. A1/9). Den Akten kann sodann entnommen werden, dass die Beschwerdeführerin über ihr Äusserungsrecht in ihrer Muttersprache orientiert wurde und sie in der Folge auf eine Aussage verzichtete (SEM act. A1/8). Die entsprechende Rüge erweist sich folglich als unbegründet.</w:t>
      </w:r>
    </w:p>
    <w:p>
      <w:r>
        <w:rPr>
          <w:b/>
        </w:rPr>
        <w:t>E. 4.1</w:t>
      </w:r>
    </w:p>
    <w:p>
      <w:r>
        <w:t>Ein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4.3</w:t>
      </w:r>
    </w:p>
    <w:p>
      <w:r>
        <w:t>Drittstaatsangehörige dürfen über die Aussengrenzen des Schengen-Raums für einen Aufenthalt von höchstens 90 Tagen innerhalb eines Zeit-raums von 180 Tagen einreisen, wenn sie im Besitz gültiger Reisedokumente sind, die zum Grenzübertritt berechtigen (vgl. Art. 6 Abs. 1 der Verordnung [EG] Nr. 2016/399 des Europäischen Parlaments und des Rates vom 9. März 2016 über einen Gemeinschaftskodex für das Überschreiten der Grenzen durch Personen [Schengener Grenzkodex, SGK, ABl. L 77 vom 23.03.2016]). Ferner benötigen sie ein Visum, falls ein solches nach Massgabe der EU-Visa-Verordnung erforderlich ist ([EG] Nr. 539/2001 des Rates vom 15. März 2001 [ABl. L 81 vom 21.03.2001] zur Aufstellung der Liste der Drittländer, deren Staatsangehörige beim Überschreiten der Aussengrenzen im Besitz eines Visums sein müssen, sowie der Liste der Drittländer, deren Staatsangehörige von dieser Visumpflicht befreit sind; vgl. dazu und zu den weiteren Voraussetzungen Art. 6 Abs. 1 Bst. a bis e SGK).</w:t>
      </w:r>
    </w:p>
    <w:p>
      <w:r>
        <w:rPr>
          <w:b/>
        </w:rPr>
        <w:t>E. 4.4</w:t>
      </w:r>
    </w:p>
    <w:p>
      <w:r>
        <w:t>Die Beschwerdeführerin ist nach Massgabe der EU-Visa-Verordnung als Inhaberin eines venezolanischen Reisepasses von der Visumspflicht befreit und berechtigt, sich im Hoheitsgebiet der Schengen-Staaten höchstens 90 Tage je Zeitraum von 180 Tagen frei zu bewegen, wobei der Zeitraum von 180 Tagen, der jedem Tag des Aufenthalts vorangeht, berücksichtigt wird (Art. 6 Abs. 1 SGK). Gemäss dem vorliegend von der Beschwerdeführerin nicht bestrittenen Sachverhalt hat sie mit einem 77 Tagen über den bewilligungsfreien Aufenthalt hinausgehenden und gemäss den vorerwähnten Bestimmungen widerrechtlichen Verbleib in der Schweiz gegen die öffentliche Sicherheit und Ordnung verstossen (vgl. für die Berechnung der Verbleibdauer SEM act. A1/7). Die Anordnung eines Einreiseverbots erfordert überdies kein vorsätzliches Handeln. Es genügt, wenn der ausländischen Person eine Sorgfaltspflichtverletzung zugerechnet werden kann. Jeder Ausländerin und jedem Ausländer obliegt es, sich über bestehende Rechte und Pflichten im Zusammenhang mit ausländerrechtlichen Vorschriften ins Bild zu setzen und sich im Falle von Unklarheiten bei der zuständigen Stelle kundig zu machen. Unkenntnis oder Fehlinterpretation der Einreise- und Aufenthaltsvorschriften stellen in der Regel keinen hinreichenden Grund für ein Absehen von einer Fernhaltemassnahme dar (vgl. statt vieler Urteil des BVGer F-3002/2016 vom 10. Juli 2017 E. 4.2). Von diesem Grundsatz ist vorliegend nicht abzuweichen. Ein Fernhaltegrund von Art. 67 Abs. 2 Bst. a AuG liegt entsprechend vor und die Verhängung des Einreiseverbots erweist sich grundsätzlich als gerechtfertigt.</w:t>
      </w:r>
    </w:p>
    <w:p>
      <w:r>
        <w:rPr>
          <w:b/>
        </w:rPr>
        <w:t>E. 5.1</w:t>
      </w:r>
    </w:p>
    <w:p>
      <w:r>
        <w:t>Zu prüfen bleibt, ob die Massnahme in richtiger Ausübung des Ermessens ergangen und angemessen ist. Zentrale Bedeutung kommt dabei dem Grundsatz der Verhältnismässigkeit zu, der eine wertende Abwägung zwischen den öffentlichen Interessen an der Massnahme einerseits und den von der Massnahme beeinträchtigten privaten Interessen des Verfügungsbelasteten andererseits verlangt. Die Stellung der verletzten oder gefährdeten Rechtsgüter, die Besonderheiten des ordnungswidrigen Verhaltens und die persönlichen Verhältnisse der betroffenen ausländischen Person bilden dabei den Ausgangspunkt der Überlegungen (Art. 96 AuG; ferner statt vieler Häfelin/Müller/Uhlmann, Allgemeines Verwaltungsrecht, 7. Aufl. 2016, Rz. 555 ff.).</w:t>
      </w:r>
    </w:p>
    <w:p>
      <w:r>
        <w:rPr>
          <w:b/>
        </w:rPr>
        <w:t>E. 5.2</w:t>
      </w:r>
    </w:p>
    <w:p>
      <w:r>
        <w:t>Das Fehlverhalten der Beschwerdeführerin wiegt angesichts des erheblichen Überschreitens des zulässigen bewilligungsfreien Aufenthalts im Schengen-Raum objektiv nicht leicht. Es beinhaltet die Missachtung ausländerrechtlicher Normen, denen im öffentlichen Interesse einer funktionierenden Rechtsordnung eine zentrale Bedeutung zukommt. Das Fernhalte-interesse ist jedoch dahingehend zu relativieren, als dass die Beschwerdeführerin nicht weggewiesen werden musste und im Strafverfahren stets geständig war (vgl. demgegenüber bspw. die Urteile des BVGer F-3002/2016 vom 10. Juli 2017 Sachverhalt A bis C und E. 5.4 [m.w.H. zur Rechtsprechung des BVGer] sowie C-2438/2014 vom 14. November 2014 Sachverhalt A bis D sowie E. 5.5 ff.). Die Schweiz hat sie umgehend und freiwillig verlassen. Sie zeigte sich zudem anlässlich der polizeilichen Einvernahme kooperativ und einsichtig (vgl. BVGer act. 1/Beschwerdeschrift, Beilage 4 sowie SEM act. A1/3). In der Folge wurde sie für ihr Fehlverhalten strafrechtlich belangt, und sie hat die Busse umgehend entrichtet (vgl. BVGer act. 1/Beschwerdeschrift, Beilage 6). Die Vorbringen der Beschwerdeführerin, wonach sie bereits aufgrund des erfolgten Strafbefehls ihre Lektion gelernt habe und mangels vorsätzlichen Verhaltens keine Wiederholungsgefahr bestehe, erscheinen im Grundsatz überzeugend. Angesichts der Beziehung mit einem Schweizer Staatsangehörigen kann zudem ein relevantes privates Interesse an einer Einreise in den Schengen-Raum festgestellt werden. Ein zweijähriges Einreiseverbot erscheint daher insgesamt als unverhältnismässig. Dem öffentlichen Interesse an der Fernhaltung der Beschwerdeführerin wird mit einem bis zum Urteilszeitpunkt befristeten Einreiseverbot zureichend Rechnung getragen.</w:t>
      </w:r>
    </w:p>
    <w:p>
      <w:r>
        <w:rPr>
          <w:b/>
        </w:rPr>
        <w:t>E. 5.3</w:t>
      </w:r>
    </w:p>
    <w:p>
      <w:r>
        <w:t>Die Beschwerde ist nach dem Gesagten teilweise gutzuheissen und das gegen die Beschwerdeführerin verhängte Einreiseverbot auf den Zeitpunkt des heutigen Urteils aufzuheben.</w:t>
      </w:r>
    </w:p>
    <w:p>
      <w:r>
        <w:rPr>
          <w:b/>
        </w:rPr>
        <w:t>E. 6.1</w:t>
      </w:r>
    </w:p>
    <w:p>
      <w:r>
        <w:t>Die Beschwerdeführerin obsiegt nach dem Gesagten teilweise. Die Verfahrenskosten sind dementsprechend zu reduzieren und ihr der Kostenvorschuss anteilsweise zurückzuerstatten (vgl. Art. 63 Abs. 1 VwVG i.V.m. Art. 1 ff. des Reglements vom 21. Februar 2008 über die Kosten und Entschädigungen vor dem Bundesverwaltungsgericht [VGKE, SR 173.320.2]).</w:t>
      </w:r>
    </w:p>
    <w:p>
      <w:r>
        <w:rPr>
          <w:b/>
        </w:rPr>
        <w:t>E. 6.2</w:t>
      </w:r>
    </w:p>
    <w:p>
      <w:r>
        <w:t>Eine Parteientschädigung für das teilweise Obsiegen ist nicht zuzusprechen, zumal der durch ihren Lebenspartner vertretenen Beschwerdeführerin keine notwendigen und verhältnismässig hohen Kosten gemäss Art. 64 Abs. 1 VwVG i.V.m. Art. 7 VGKE erwachsen sind. Eine solche wurde denn auch explizit nicht beantragt (BVGer act. 1/Beschwerdeschrift S. 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