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F-334/2022 vom 12. Januar 2022</w:t>
      </w:r>
    </w:p>
    <w:p>
      <w:r>
        <w:t>Bundesverwaltungsgericht, 2022-01-12, DE</w:t>
      </w:r>
    </w:p>
    <w:p>
      <w:r>
        <w:rPr>
          <w:b/>
        </w:rPr>
        <w:t xml:space="preserve">Quelle: </w:t>
      </w:r>
      <w:r>
        <w:t>https://mcp.opencaselaw.ch/entscheid/bvger_F-334_2022_d20220112</w:t>
      </w:r>
    </w:p>
    <w:p>
      <w:r>
        <w:t>FR: TAF F-334/2022 du 12 janvier 2022</w:t>
      </w:r>
    </w:p>
    <w:p>
      <w:r>
        <w:t>IT: TAF F-334/2022 del 12 gennaio 2022</w:t>
      </w:r>
    </w:p>
    <w:p>
      <w:pPr>
        <w:pStyle w:val="Heading2"/>
      </w:pPr>
      <w:r>
        <w:t>Regeste</w:t>
      </w:r>
    </w:p>
    <w:p>
      <w:r>
        <w:t>Einreiseverbot | Einreiseverbot; Verfügung des SEM vom 12. Januar 2022</w:t>
      </w:r>
    </w:p>
    <w:p>
      <w:pPr>
        <w:pStyle w:val="Heading2"/>
      </w:pPr>
      <w:r>
        <w:t>Erwägungen</w:t>
      </w:r>
    </w:p>
    <w:p>
      <w:r>
        <w:rPr>
          <w:b/>
        </w:rPr>
        <w:t>E. 1.1</w:t>
      </w:r>
    </w:p>
    <w:p>
      <w:r>
        <w:t>Verfügungen des SEM betreffend Einreiseverbote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Der Beschwerdeführer ist zur Erhebung der Beschwerde legitimiert (Art. 48 Abs. 1 VwVG). Auf die frist- und formgerecht eingereichte Be- schwerde ist daher einzutreten (Art. 50 Abs. 1 VwVG und Art. 52 Abs. 1 VwVG).</w:t>
      </w:r>
    </w:p>
    <w:p>
      <w:r>
        <w:rPr>
          <w:b/>
        </w:rPr>
        <w:t>E. 1.4</w:t>
      </w:r>
    </w:p>
    <w:p>
      <w:r>
        <w:t>Das Bundesverwaltungsgericht entscheidet in der vorliegenden Ange- legenheit endgültig (vgl. Art. 83 Bst. c Ziff. 1 BGG).</w:t>
      </w:r>
    </w:p>
    <w:p>
      <w:r>
        <w:rPr>
          <w:b/>
        </w:rPr>
        <w:t>E. 2</w:t>
      </w:r>
    </w:p>
    <w:p>
      <w:r>
        <w:t>Mit Beschwerde an das Bundesverwaltungsgericht kann vorliegend die</w:t>
      </w:r>
    </w:p>
    <w:p>
      <w:r>
        <w:t>F-334/2022 Seite 4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Entscheides (vgl. BVGE 2014/1 E. 2 m.H.).</w:t>
      </w:r>
    </w:p>
    <w:p>
      <w:r>
        <w:rPr>
          <w:b/>
        </w:rPr>
        <w:t>E. 3</w:t>
      </w:r>
    </w:p>
    <w:p>
      <w:r>
        <w:t>Der Beschwerdeführer ist mit einer österreichischen Staatsangehörigen verheiratet. Damit gilt er als Familienangehöriger einer Person, die Staats- angehörige ist einer Vertragspartei des Abkommens vom 21. Juni 1999 zwischen der Schweizerischen Eidgenossenschaft einerseits und der Eu- ropäischen Gemeinschaft und ihren Mitgliedstaaten andererseits über die Freizügigkeit (Freizügigkeitsabkommen, FZA, SR 0.142.112.681) ist (Art. 3 Anhang I FZA). Gemäss Art. 2 Abs. 2 AIG (SR 142.20) ist daher das or- dentliche Ausländerrecht – bestehend aus dem Ausländer- und Integrati- onsgesetz (AIG) und seinen Ausführungsverordnungen – nur soweit an- wendbar, als das FZA keine abweichenden Bestimmungen enthält oder die Bestimmungen des ordentlichen Ausländerrechts günstiger sind.</w:t>
      </w:r>
    </w:p>
    <w:p>
      <w:r>
        <w:rPr>
          <w:b/>
        </w:rPr>
        <w:t>E. 4.1</w:t>
      </w:r>
    </w:p>
    <w:p>
      <w:r>
        <w:t>Die Vorinstanz kann nach Art. 67 Abs. 2 Bst. a AIG (in der hier anwend- baren, bis am 21. November 2022 gültig gewesenen Fassung vom 18. Juni 2010 [AS 2010 5925]) Einreiseverbote gegenüber Ausländerinnen und Ausländern verfügen, die gegen die öffentliche Sicherheit und Ord- nung in der Schweiz oder im Ausland verstossen haben oder diese gefähr- den. Ein Verstoss gegen die öffentliche Sicherheit und Ordnung liegt ins- besondere vor bei einer Missachtung von gesetzlichen Vorschriften oder behördlichen Verfügungen (Art. 77a Abs. 1 Bst. a der Verordnung über Zu- lassung, Aufenthalt und Erwerbstätigkeit vom 24. Oktober 2007 [VZAE, SR 142.201]). Von einer Gefährdung der öffentlichen Sicherheit und Ord- nung ist auszugehen, wenn konkrete Anhaltspunkte dafür bestehen, dass der Aufenthalt der betroffenen Person in der Schweiz mit erheblicher Wahr- scheinlichkeit zu einer Nichtbeachtung der öffentlichen Sicherheit und Ord- nung führt (Art. 77a Abs. 2 VZAE). Das Einreiseverbot wird (grundsätzlich) für eine Dauer von höchstens fünf Jahren verfügt (Art. 67 Abs. 3 erster Satz AIG). Es kann für eine längere Dauer angeordnet werden, wenn die be- troffene Person eine schwerwiegende Gefahr für die öffentliche Sicherheit</w:t>
      </w:r>
    </w:p>
    <w:p>
      <w:r>
        <w:t>F-334/2022 Seite 5 und Ordnung darstellt (Art. 67 Abs. 3 zweiter Satz AIG). Die verfügende Behörde kann ausnahmsweise aus humanitären oder anderen wichtigen Gründen von der Verhängung eines Einreiseverbots absehen oder ein Ein- reiseverbot endgültig oder vorübergehend aufheben (Art. 67 Abs. 5 erster Satz AIG).</w:t>
      </w:r>
    </w:p>
    <w:p>
      <w:r>
        <w:rPr>
          <w:b/>
        </w:rPr>
        <w:t>E. 5.1</w:t>
      </w:r>
    </w:p>
    <w:p>
      <w:r>
        <w:t>Im Anwendungsbereich des Freizügigkeitsabkommens stellt ein Einrei- severbot nach Art. 67 AIG eine Massnahme dar, welche die Ausübung ver- traglich zugesicherter Rechte auf Freizügigkeit – hier des Rechts auf Ein- reise (Art. 3 FZA) – einschränkt. Solche Massnahmen sind gemäss Art. 5 Abs. 1 Anhang I FZA nur zulässig, wenn sie aus Gründen der öffentlichen Ordnung, Sicherheit und Gesundheit gerechtfertigt sind (Ordre-Public-Vor- behalt). Die Konkretisierung des Ordre-Public-Vorbehalts erfolgt durch die drei Richtlinien 64/221/EWG (ABl. Nr. 56/850 vom 4.4.1964), 72/194/EWG (ABl. Nr. L 121/32 vom 26.5.1972) und 75/35/EWG (ABl. Nr. L 14/14 vom 20.1.1975) in ihrer Fassung zum Zeitpunkt der Unterzeichnung des Freizü- gigkeitsabkommens (Art. 16 Abs. 1 FZA i.V.m. Art. 5 Abs. 2 Anhang I FZA) und die vor diesem Zeitpunkt bestandene, einschlägige Rechtsprechung des Gerichtshofs der Europäischen Gemeinschaft (EuGH; Art. 16 Abs. 2 FZA). In diesem Sinne schränkt das Freizügigkeitsabkommen die auslän- derrechtlichen Befugnisse nationaler Behörden bei der Handhabung aus- länderrechtlicher Massnahmen wie des Einreiseverbots ein.</w:t>
      </w:r>
    </w:p>
    <w:p>
      <w:r>
        <w:rPr>
          <w:b/>
        </w:rPr>
        <w:t>E. 5.2</w:t>
      </w:r>
    </w:p>
    <w:p>
      <w:r>
        <w:t>Abweichungen vom Grundsatz des freien Personenverkehrs sind nach der Rechtsprechung eng auszulegen. Art. 5 Abs. 1 Anhang I FZA setzt aus- ser der Störung der öffentlichen Ordnung und Sicherheit, wie sie jede Ge- setzesverletzung darstellt, eine tatsächliche und hinreichend schwere Ge- 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 urteilung für sich allein nicht genügt. Sie kann nur insoweit herangezogen werden, als die ihr zugrundeliegenden Umstände ein persönliches Verhal- ten erkennen lassen, das eine gegenwärtige Gefährdung der öffentlichen Ordnung und Sicherheit darstellt. Art. 5 Anhang I FZA steht mit anderen Worten Massnahmen entgegen, die im Sinne eines Automatismus an ver- gangenes Fehlverhalten anknüpfen, und solchen, die aus Gründen der Ge- neralprävention angeordnet werden. Insoweit kommt es im Unterschied zum Landesrecht auf das Rückfallrisiko an, wobei die in Kauf zu nehmende</w:t>
      </w:r>
    </w:p>
    <w:p>
      <w:r>
        <w:t>F-334/2022 Seite 6 Rückfallgefahr desto geringer ist, je schwerer die möglichen Rechtsgüter- verletzungen wiegen (vgl. BGE 139 II 121 E. 5.3).</w:t>
      </w:r>
    </w:p>
    <w:p>
      <w:r>
        <w:rPr>
          <w:b/>
        </w:rPr>
        <w:t>E. 6.1</w:t>
      </w:r>
    </w:p>
    <w:p>
      <w:r>
        <w:t>Die Vorinstanz begründete das fünfjährige Einreiseverbot damit, dass der Beschwerdeführer in der Schweiz wiederholt straffällig geworden und mit Urteil des (Nennung Gericht) des Kantons C._______ vom (...) wegen versuchter schwerer Körperverletzung zu einer Freiheitsstrafe von (Nen- nung Dauer) verurteilt worden sei. Aus diesem Grund sei dessen Nieder- lassungsbewilligung rechtskräftig entzogen worden. Das verübte Delikt stelle einen schweren Verstoss gegen die Gesetzgebung dar, womit eine Gefährdung der öffentlichen Sicherheit und Ordnung einhergehe. Er habe bei der Art und Weise des Tatvorgehens ein nicht unbeträchtliches Aggres- sionspotential offenbart, seinen eigenen (Nennung Verwandter) mit einem Messer bedroht und eine lebensgefährliche Verletzung in Kauf genommen. Zudem sei aufgrund des Vorgehens während der Tat von einer Gering- schätzung und einer erschreckenden Gleichgültigkeit gegenüber der kör- perlichen Unversehrtheit des Opfers auszugehen. Bereits früher habe der Beschwerdeführer wegen häuslicher Gewalt verurteilt werden müssen. Ausserdem seien weitere Vorfälle häuslicher Gewalt polizeilich registriert worden. Aufgrund seines bisherigen Verhaltens bestehe eine erhebliche Wahrscheinlichkeit dafür, dass er in Zukunft weitere Delikte gegen Leib und Leben verüben werde. Damit sei von einer ernsthaften, realen und gegen- wärtigen Bedrohung der öffentlichen Ordnung und Sicherheit im Sinne von Artikel 5 Absatz 1 Anhang I FZA auszugehen. Er könne sich damit für die Dauer des Einreiseverbotes nicht mehr auf das Freizügigkeitsrecht beru- fen. Schwere Körperverletzung gehörten zudem zu denjenigen Anlassta- ten, die vom Verfassungsgeber als besonders verwerflich betrachtet wür- den und zum Verlust eines jeden Aufenthaltsrechts sowie zu einem obliga- torischen Einreiseverbot von 5 bis 15 Jahren Dauer führen sollten (Art. 66a Abs. 1 Bst. b StGB; in Kraft seit 1. Oktober 2016). Auch wenn diese Rege- lung nicht rückwirkend Anwendung auf den Beschwerdeführer finde, könne diese Wertung bei der Interessenabwägung hinzugezogen werden. Der Er- lass einer Fernhaltemassnahme für die Dauer von fünf Jahren sei auch unter Berücksichtigung der privaten Interessen des Beschwerdeführers an- gezeigt, gerechtfertigt und verhältnismässig. Daran vermöge die Bezie- hung zur hier lebenden Ehefrau und den (Nennung Anzahl) erwachsenen Söhnen nichts zu ändern. Diese Nachteile seien überdies in erster Linie auf den Verlust seines Aufenthaltsrechts zurückzuführen. Die Beziehung zur Familie könne über die klassischen und neuen Kommunikationsmittel gepflegt werden. Allfälligen privaten Interessen könne in begründeten</w:t>
      </w:r>
    </w:p>
    <w:p>
      <w:r>
        <w:t>F-334/2022 Seite 7 Fällen sodann durch eine zeitweilige Suspension der angeordneten Fern- haltemassnahme Rechnung getragen werden. Es lägen deshalb keine pri- vaten Interessen vor, welche das öffentliche Interesse an einer Fernhaltung überwiegen könnten. Der Beschwerdeführer habe während der Dauer des Einreiseverbots zu beweisen, dass er gewillt und fähig sei, sich in Zukunft an die geltende Rechtsordnung zu halten.</w:t>
      </w:r>
    </w:p>
    <w:p>
      <w:r>
        <w:rPr>
          <w:b/>
        </w:rPr>
        <w:t>E. 6.2</w:t>
      </w:r>
    </w:p>
    <w:p>
      <w:r>
        <w:t>In seiner Rechtsmitteleingabe entgegnet der Beschwerdeführer, er be- streite sein Fehlverhalten nicht. Er habe sich jedoch nach den Vorfällen in mehrjähriger Therapie befunden, um an seinem Verhalten zu arbeiten, was die Vorinstanz ausser Acht gelassen habe. Gemäss der Verfügung der (Nennung Institution) vom (...) sei es ihm während des Behandlungszeit- raums gelungen, abstinent zu werden und ein auf Selbstkontrolle basieren- des Risikomanagement erfolgreich umzusetzen. Wesentlich zur Beurtei- lung der Gefährdung der öffentlichen Ordnung und Sicherheit sei auch das Rückfallrisiko. Gemäss dem (Nennung Dienst) des Kantons C._______ (jährlicher Therapiebericht vom [...]) sei das von ihm ausgehende Rückfall- risiko am Ende des Behandlungsverlaufes nur noch als moderat einzustu- fen und werde sich auch nach Abschluss der ambulanten Massnahme nicht verändern. Nach seiner Entlassung aus dem Straf- und Massnah- menvollzug sei er wieder bei seiner Familie eingezogen, was zu keinen Problemen geführt habe. Dies unterstreiche, dass seine vormals proble- matischen Verhaltenszüge erfolgreich hätten therapiert werden können. Vor diesem Hintergrund sei nicht anzunehmen, dass von ihm eine derartige Gefährlichkeit beziehungsweise eine so hohe Wahrscheinlichkeit der Ge- fährdung der öffentlichen Sicherheit und Ordnung ausgehe, als dass die Ausschöpfung der Maximaldauer des Einreiseverbots gerechtfertigt wäre. Das schwerste begangene Delikt habe zu keiner Verletzung des Opfers geführt und die damals bestehende Alkoholabhängigkeit zur Eskalation der Situation beigetragen. Im Lichte der gesamten Umstände erscheine so- dann die Verfügung der grundsätzlichen Maximaldauer des Einreisever- bots als unverhältnismässig und sei deshalb auf zwei Jahre zu kürzen. Auf- grund des bereits erreichten Pensionsalters und mangels sozialer Bezugs- punkte müsste er in Indien vollkommen isoliert leben. Eine fünfjährige Tren- nung würde unweigerlich zu einem Abriss des gewöhnlichen Familienle- bens führen, nachdem es gerade mithilfe der ambulanten Massnahme ge- lungen sei, den endgültigen Zerfall der Familie zu verhindern. Es sei offen- sichtlich, dass der Kontakt mit Hilfe technischer Kommunikationsmittel während Jahren nicht mit dem bislang gepflegten Familienleben verglichen werden könne. Ausserdem werde es ihm verunmöglicht, seine in der The- rapie erworbenen Fähigkeiten weiterhin anzuwenden und umzusetzen.</w:t>
      </w:r>
    </w:p>
    <w:p>
      <w:r>
        <w:t>F-334/2022 Seite 8</w:t>
      </w:r>
    </w:p>
    <w:p>
      <w:r>
        <w:rPr>
          <w:b/>
        </w:rPr>
        <w:t>E. 6.3</w:t>
      </w:r>
    </w:p>
    <w:p>
      <w:r>
        <w:t>In ihrer Vernehmlassung beantragt die Vorinstanz die Abweisung der Beschwerde. Da sich der Beschwerdeführer auf das FZA berufen könne, müsse für den Erlass eines Einreiseverbots gemäss Art. 5 Anhang I FZA eine hinreichende und aktuelle Gefährdung der Grundinteressen der Ge- meinschaft bestehen. Auch wenn vorliegend nur von einem moderaten Rückfallrisiko auszugehen sei, müsse berücksichtigt werden, dass vorlie- gend besonders hochwertige Rechtsgüter (Leib und Leben) bedroht seien. Je schwerer die möglichen Rechtsgüterverletzungen wiegen würden, desto geringer sei die in Kauf zu nehmende Rückfallgefahr. Soweit der Be- schwerdeführer ausführe, es sei zu keiner Verletzung des Opfers gekom- men, habe laut dem Urteil des (Nennung Gericht) vom (...) der Umstand, dass es lediglich beim Versuch geblieben sei, nur zu einer leichten Reduk- tion der Strafe geführt, da es insbesondere dem Abwehrreflex des Opfers, nicht aber dem Verhalten des Beschuldigten zuzuschreiben ist, dass das Opfer durch die Messerstiche nicht schwer verletzt worden sei. Das zeitli- che Zurückliegen des vom Beschwerdeführer begangen schweren Delikts sei bei der Dauer des Einreiseverbots bereits angemessen berücksichtigt worden. Anzumerken sei, dass der Beschwerdeführer erst am (Nennung Zeitpunkt) bedingt und unter Anordnung einer engmaschigen Nachsorge aus der Haft entlassen worden sei. Die Dauer von knapp vier Jahren seit Begehung der Straftaten sei im Verhältnis zur Schwere der verübten Taten zu kurz, um auf ein künftiges Wohlverhalten des Täters zu schliessen und dadurch massgebend die Dauer des Einreiseverbots zu beeinflussen. So- weit er sich auf das Recht auf Privat- und Familienleben berufe und Schwierigkeiten bei einer Wiedereingliederung in Indien geltend mache, seien die genannten Nachteile in erster Linie auf den Verlust seines Auf- enthaltsrechts zurückzuführen.</w:t>
      </w:r>
    </w:p>
    <w:p>
      <w:r>
        <w:rPr>
          <w:b/>
        </w:rPr>
        <w:t>E. 6.4</w:t>
      </w:r>
    </w:p>
    <w:p>
      <w:r>
        <w:t>In seiner Replik hält der Beschwerdeführer im Wesentlichen an seinen bisherigen Ausführungen fest. Im (Nennung Beweismittel) werde ange- führt, dass das Risiko einer erneuten Straftat vor allem im häuslichen Be- reich bestehe, weshalb seine Therapierung auf diesen Bereich ausgerich- tet worden sei. Es sei ihm denn auch mehrmals gelungen, Gesprächsthe- men mit Konfliktpotenzial zu vermeiden. Seit seiner Entlassung sei es zu keinen Rückfällen insgesamt und auch nicht im Familienalltag gekommen. Die positiven Effekte der Therapie hätten sich ausgewirkt und das mode- rate bis nur noch geringe Rückfallrisiko habe sich bestätigt. Es sei daher nicht nachvollziehbar, weshalb dennoch die maximal mögliche Dauer des Einreiseverbots angeordnet worden sei. Dem vorinstanzlichen Argument, die vierjährige Freiheit sei kein genügend langer Zeitraum, um auf eine künftig positive Legalprognose zu schliessen, sei – nebst seiner</w:t>
      </w:r>
    </w:p>
    <w:p>
      <w:r>
        <w:t>F-334/2022 Seite 9 erfolgreichen Therapierung – entgegenzuhalten, dass der in Freiheit ver- brachte Zeitraum seit seiner Entlassung die angeordnete Freiheitsstrafe bereits überdauert habe und keine neuerlichen Delikte begangen worden seien. Obwohl die Schwierigkeiten der Wiedereingliederung in Indien auch mit dem Verlust des Aufenthaltsrechts zusammenhängen würden, könne die Beeinträchtigung der familiären Situation durch das Einreiseverbot nicht ausser Acht gelassen werden und sei zumindest bei der Verhältnis- mässigkeit der Dauer des Verbots zu berücksichtigen.</w:t>
      </w:r>
    </w:p>
    <w:p>
      <w:r>
        <w:rPr>
          <w:b/>
        </w:rPr>
        <w:t>E. 7.1</w:t>
      </w:r>
    </w:p>
    <w:p>
      <w:r>
        <w:t>Der Beschwerdeführer trat den Akten zufolge wiederholt strafrechtlich in Erscheinung: So wurde er (Aufzählung Verurteilungen). In der Folge wurde der Beschwerdeführer mit Verfügung des Migrationsamtes des Kan- tons C._______ vom 3. August 2010 ausländerrechtlich verwarnt. Mit Urteil des (Nennung Gericht) des Kantons C._______ vom (...) wurde er sodann wegen versuchter schwerer Körperverletzung, begangen am (Nennung Zeitpunkt), schuldig gesprochen und unter Anrechnung der Untersu- chungshaft zu einer Freiheitsstrafe von (Nennung Dauer) verurteilt. Der Vollzug der Freiheitsstrafe wurde vollzogen und es wurde eine ambulante Massnahme nach Art. 63 StGB angeordnet (vgl. SEM act. 1/pag. 45 f. und 106). Überdies ist aktenmässig erstellt, dass es während der Ehe wieder- holt und über einen langen Zeitraum respektive während mehreren Jahren zu häuslicher Gewalt gegenüber der Ehefrau und weiteren Familienange- hörigen (Nennung Verwandter) gekommen ist, was wiederholt eine polizei- liche Intervention zur Folge hatte und weswegen die Ehefrau mehrfach den Hausarzt aufsuchen musste. Infolge dieser ständigen Übergriffe wurden Massnahmen nach dem Gewaltschutzgesetz ausgesprochen, zumal die häusliche Gewalt eine Konstante im Zusammenleben mit dem Beschwer- deführer darstellte und sich auch nicht auf Zeiten des übermässigen Alko- holkonsums beschränkte (vgl. SEM act. 1/pag. 38). Der Fernhaltegrund nach Art. 67 Abs. 2 Bst. a AIG ist somit gesetzt. Nachfolgend ist zu prüfen, ob von ihm eine nach dem FZA vorausgesetzte Rückfallgefahr ausgeht.</w:t>
      </w:r>
    </w:p>
    <w:p>
      <w:r>
        <w:rPr>
          <w:b/>
        </w:rPr>
        <w:t>E. 7.2</w:t>
      </w:r>
    </w:p>
    <w:p>
      <w:r>
        <w:t>Gemäss Bundesgericht sind die Anforderungen, welche an die hinzu- nehmende Rückfallgefahr zu stellen sind, umso niedriger, je schwerer die möglichen Rechtsgüterverletzungen wiegen (BGE 139 II 121 E. 5.3). Der Beschwerdeführer wurde am (...) wegen versuchter schwerer Körperver- letzung schuldig gesprochen und zu einer Freiheitsstrafe von (Nennung Dauer) verurteilt. Aufgrund der Höhe der Strafe handelt es sich dabei klar- erweise nicht um Bagatelldelikte. Durch den Versuch einer schweren Ver- letzung der körperlichen Unversehrtheit hat er auf gravierende Art und</w:t>
      </w:r>
    </w:p>
    <w:p>
      <w:r>
        <w:t>F-334/2022 Seite 10 Weise die öffentliche Ordnung in einem ganz besonders schützenswerten Bereich gefährdet respektive verletzt (vgl. auch BGE 139 II 121 E. 6.3). Zu berücksichtigen ist weiter, dass das Gericht mit dieser letzten Verurteilung eine ambulante Behandlung (Suchtbehandlung Alkohol) nach Art. 63 StGB angeordnet hatte. Am (...) wurde der Beschwerdeführer unter Anordnung einer Bewährungshilfe bedingt aus dem Strafvollzug entlassen mit der Wei- sung, die gerichtlich angeordnete Behandlung fortzusetzen, sich alkohol- abstinent zu verhalten und sich regelmässig diesbezüglichen Substanz- kontrollen zu unterziehen (vgl. SEM act. 1/pag. 15). Somit wurde er nicht einfach aus dem Strafvollzug entlassen, sondern es wurden weitere Mas- snahmen angeordnet, um einen Rückfall zu verhindern. Mit Verfügung der (Nennung Dienste) vom (...) (vgl. Beschwerdebeilage 4) – mithin knappe zwei Monate vor seiner Ausreise – wurde die ambulante Behandlung nach Art. 63 StGB aufgehoben. Somit stand sein Wohlverhalten erst seit kurzer Zeit nicht mehr unter dem Druck eines Strafverfahrens und einer strafrecht- lichen Bewährung, weshalb sich allein daraus keine verlässlichen Rück- schlüsse auf sein künftiges Verhalten ableiten lassen. Der erwähnten Ver- fügung der (Nennung Dienste) ist hinsichtlich des Erfolgs der ambulanten Behandlung zu entnehmen, dass es dem Beschwerdeführer im Behand- lungszeitraum gelungen sei, ein auf Selbstkontrolle basierendes Risikoma- nagement erfolgreich umzusetzen. Bezüglich des Rückfallrisikos für häus- liche Gewalt wird angeführt, dass der (Nennung Dienst) dieses Risiko am Ende des Behandlungsverlaufs als moderat eingeschätzt habe, wobei sich diese Einschätzung auch bei Wegfall der ambulanten Massnahme nicht verändern würde. Das Gericht stellt fest, dass der (Nennung Dienst) die Einzeltherapie des Beschwerdeführers im (Nennung Zeitpunkt) aufgenom- men und mit erwähnter Verfügung der (Nennung Dienste) vom (...) beendet hat. Mithin wurde der Beschwerdeführer während (Nennung Dauer) thera- piert, was knapp unterhalb der Schwelle für die vom Gesetzgeber in Art. 63 Abs. 4 StGB vorgesehene Höchstdauer einer ambulanten Behandlung von fünf Jahren liegt. Auch nach dieser langen Therapiedauer wird trotz der erreichten positiven Entwicklungen beim Beschwerdeführer laut dem (Nen- nung Dienst) das Rückfallrisiko für häusliche Gewalt noch immer als mäs- sig eingestuft. Zudem verübte er seine Taten nicht in einem jugendlichen Alter, sondern war zu den jeweiligen Tatzeitpunkten bereits über (...) Jahre alt. Insgesamt ist nicht von einer günstigen Prognose auszugehen. Auf- grund der Art und Häufigkeit der Straftaten sowie der lange Jahre andau- ernden häuslichen Gewalt und der damit verbundenen Gefährdung und Verletzung von besonders schützenswerten Rechtsgütern ist vorliegend auch eine moderate Rückfallgefahr als ausreichend zu erachten, um von einer gegenwärtigen, tatsächlichen und hinreichend schweren Gefahr für</w:t>
      </w:r>
    </w:p>
    <w:p>
      <w:r>
        <w:t>F-334/2022 Seite 11 die öffentliche Sicherheit und Ordnung im Sinne von Art. 5 Abs. 1 Anhang I FZA auszugehen.</w:t>
      </w:r>
    </w:p>
    <w:p>
      <w:r>
        <w:rPr>
          <w:b/>
        </w:rPr>
        <w:t>E. 8.1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8. Aufl. 2020, Rz. 555 ff.).</w:t>
      </w:r>
    </w:p>
    <w:p>
      <w:r>
        <w:rPr>
          <w:b/>
        </w:rPr>
        <w:t>E. 8.2</w:t>
      </w:r>
    </w:p>
    <w:p>
      <w:r>
        <w:t>Vom Beschwerdeführer geht eine erhebliche Gefahr für die öffentliche Sicherheit und Ordnung aus. Er wurde mehrfach straffällig und gefährdete hochwertige Rechtsgüter, weshalb ein beträchtliches öffentliches Interesse an seiner Fernhaltung für längere Zeit besteht.</w:t>
      </w:r>
    </w:p>
    <w:p>
      <w:r>
        <w:rPr>
          <w:b/>
        </w:rPr>
        <w:t>E. 8.3</w:t>
      </w:r>
    </w:p>
    <w:p>
      <w:r>
        <w:t>Den öffentlichen sind die privaten Interessen des verheirateten Be- schwerdeführers gegenüber zu stellen. Er reiste im Jahr (...) als (...)-Jähri- ger im Rahmen der Bestimmungen über den Familiennachzug in die Schweiz ein und verfügt hier über ein soziales Umfeld. Seine Ehefrau und die (Nennung Anzahl) gemeinsamen Kinder leben hier. Aufgrund seiner di- versen Straftaten wurde ihm die Niederlassungsbewilligung entzogen, nachdem er zuvor bereits ausländerrechtlich verwarnt worden war. Weder früher ergangene Verurteilungen noch die angedrohten ausländerrechtli- chen Konsequenzen hinderten ihn jedoch an der Begehung weiterer Taten. An seinem Verhalten änderte auch seine Verantwortung seiner Familie ge- genüber nichts. Insgesamt ist nicht von einer gelungenen Integration aus- zugehen. Seine Kinder sind mittlerweile (...) Jahre alt und somit volljährig. Zwischen ihnen und dem Beschwerdeführer besteht kein besonderes Ab- hängigkeitsverhältnis. Anders als die Beziehung zur Ehefrau fällt die Be- ziehung zu seinen Kindern aufgrund deren Volljährigkeit nicht in den An- wendungsbereich von Art. 8 Ziff. 1 EMRK (BGE 144 II 1 E. 6.1; Urteil des BGer 6B_300/2020 vom 21. August 2020 E. 3.4.3). Der Kontakt zum Be- schwerdeführer kann über Kommunikationsmittel aufrechterhalten werden. Seiner Ehefrau und den erwachsenen Kindern wäre es sodann auch mög- lich, ihn ausserhalb des Schengen-Raums zu besuchen. Eine Verletzung von Art. 8 EMRK liegt damit nicht vor. Die vorübergehende Einschränkung</w:t>
      </w:r>
    </w:p>
    <w:p>
      <w:r>
        <w:t>F-334/2022 Seite 12 in der Pflege von Kontakten zu in der Schweiz ansässigen Familienange- hörigen und Bekannten hat der Beschwerdeführer selbst zu verantworten und in Kauf zu nehmen.</w:t>
      </w:r>
    </w:p>
    <w:p>
      <w:r>
        <w:rPr>
          <w:b/>
        </w:rPr>
        <w:t>E. 8.4</w:t>
      </w:r>
    </w:p>
    <w:p>
      <w:r>
        <w:t>Eine wertende Gewichtung der sich gegenüberstehenden Interessen führt das Bundesverwaltungsgericht zum Ergebnis, dass das auf fünf Jahre befristete Einreiseverbot dem Grundsatz nach und in Bezug auf seine Dauer eine verhältnismässige und angemessene Massnahme zum Schutz der öffentlichen Sicherheit und Ordnung darstellt.</w:t>
      </w:r>
    </w:p>
    <w:p>
      <w:r>
        <w:rPr>
          <w:b/>
        </w:rPr>
        <w:t>E. 8.5</w:t>
      </w:r>
    </w:p>
    <w:p>
      <w:r>
        <w:t>In Anbetracht der vorangegangenen Ausführungen ist ein überwiegen- des öffentliches Interesse nicht nur der Schweiz, sondern sämtlicher Schengen-Staaten an der Fernhaltung des Beschwerdeführers gegeben. Die Ausschreibung des Beschwerdeführers im Schengener Informations- system (SIS) ist zu bestätigen (vgl. Art. 21 und 24 der [hier noch anwend- baren] Verordnung [EG] Nr. 1987/2006 vom 20. Dezember 2006 über die Einrichtung, den Betrieb und die Nutzung des SIS-II, Abl. L 381/4 vom 28.12.2006 [aSIS-II-VO] [abgelöst durch: Art. 21 und 24 [EU] 2018/1861 des Europäischen Parlaments und des Rates vom 28. November 2018 über die Einrichtung, den Betrieb und die Nutzung des Schengener Infor- mationssystems [SIS] im Bereich der Grenzkontrollen, zur Änderung des Übereinkommens zur Durchführung des Übereinkommens von Schengen und zur Änderung und Aufhebung der Verordnung [EG] Nr. 1987/2006; vgl. diesbezüglich Art. 65; Art. 21 der N-SIS-Verordnung vom 8. März 2013 [SR 362.0]).</w:t>
      </w:r>
    </w:p>
    <w:p>
      <w:r>
        <w:rPr>
          <w:b/>
        </w:rPr>
        <w:t>E. 9</w:t>
      </w:r>
    </w:p>
    <w:p>
      <w:r>
        <w:t>Zusammenfassend ergibt sich, dass weder das auf fünf Jahre befristete Einreiseverbot noch dessen Ausschreibung im SIS Bundesrecht verletzt (Art. 49 VwVG). Die Beschwerde ist daher abzuweisen.</w:t>
      </w:r>
    </w:p>
    <w:p>
      <w:r>
        <w:rPr>
          <w:b/>
        </w:rPr>
        <w:t>E. 10</w:t>
      </w:r>
    </w:p>
    <w:p>
      <w:r>
        <w:t>Bei diesem Ausgang des Verfahrens sind die Kosten dem Beschwerdefüh- rer aufzuerlegen (Art 63 Abs. 1 VwVG) und auf insgesamt Fr. 1'000.– fest- zusetzen (Art. 1-3 des Reglements vom 21. Februar 2008 über die Kosten und Entschädigungen vor dem Bundesverwaltungsgericht [VGKE, SR 173.320.2]). Der am 9. Februar 2022 in der gleichen Höhe geleistete Kostenvorschuss ist zur Bezahlung der Verfahrenskosten zu verwenden. Eine Parteientschädigung fällt ausgangsgemäss ausser Betracht (Art. 64 Abs. 1 VwVG e contrario).</w:t>
      </w:r>
    </w:p>
    <w:p>
      <w:r>
        <w:t>F-334/2022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