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F-3346/2022 vom 17. August 2022</w:t>
      </w:r>
    </w:p>
    <w:p>
      <w:r>
        <w:t>Bundesverwaltungsgericht, 2022-08-17, DE</w:t>
      </w:r>
    </w:p>
    <w:p>
      <w:r>
        <w:rPr>
          <w:b/>
        </w:rPr>
        <w:t xml:space="preserve">Quelle: </w:t>
      </w:r>
      <w:r>
        <w:t>https://mcp.opencaselaw.ch/entscheid/bvger_F-3346_2022</w:t>
      </w:r>
    </w:p>
    <w:p>
      <w:r>
        <w:t>FR: TAF F-3346/2022 du 17 août 2022</w:t>
      </w:r>
    </w:p>
    <w:p>
      <w:r>
        <w:t>IT: TAF F-3346/2022 del 17 agosto 2022</w:t>
      </w:r>
    </w:p>
    <w:p>
      <w:pPr>
        <w:pStyle w:val="Heading2"/>
      </w:pPr>
      <w:r>
        <w:t>Regeste</w:t>
      </w:r>
    </w:p>
    <w:p>
      <w:r>
        <w:t>Nichteintreten auf Asylgesuch und Wegweisung (Dublin-Verfahren - Art. 31a Abs. 1 Bst. b AsylG)</w:t>
      </w:r>
    </w:p>
    <w:p>
      <w:pPr>
        <w:pStyle w:val="Heading2"/>
      </w:pPr>
      <w:r>
        <w:t>Erwägungen</w:t>
      </w:r>
    </w:p>
    <w:p>
      <w:r>
        <w:rPr>
          <w:b/>
        </w:rPr>
        <w:t>E. 1.1</w:t>
      </w:r>
    </w:p>
    <w:p>
      <w:r>
        <w:t>Das vorliegende Beschwerdeverfahren F-3346/2022 wird mit demjenigen von F._______, dem jüngsten Kind der Beschwerdeführerin 1 bzw. des Bruders der Beschwerdeführenden 2 - 5, koordiniert. Über dessen Beschwerde wird gleichzeitig, aber in einem separaten Verfahren befunden (siehe F-3350/2022).</w:t>
      </w:r>
    </w:p>
    <w:p>
      <w:r>
        <w:rPr>
          <w:b/>
        </w:rPr>
        <w:t>E. 1.2</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1.3</w:t>
      </w:r>
    </w:p>
    <w:p>
      <w:r>
        <w:t>Das Verfahren richtet sich nach dem VwVG, dem VGG und dem BGG, soweit das AsylG nichts anderes bestimmt (Art. 37 VGG und Art. 6 AsylG).</w:t>
      </w:r>
    </w:p>
    <w:p>
      <w:r>
        <w:rPr>
          <w:b/>
        </w:rPr>
        <w:t>E. 1.4</w:t>
      </w:r>
    </w:p>
    <w:p>
      <w:r>
        <w:t>Die Beschwerdeführenden haben am Verfahren vor der Vorinstanz teilgenommen, sind durch die angefochtene Verfügung berührt und haben ein schutzwürdiges Interesse an deren Aufhebung beziehungsweise Änderung. Sie sind daher zur Einreichung des Rechtsmittels legitimiert (Art. 105 AsylG und Art. 48 Abs. 1 VwVG). Auf die frist- und formgerecht eingereichte Beschwerde ist einzutreten (Art. 108 Abs. 3 AsylG und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w:t>
      </w:r>
    </w:p>
    <w:p>
      <w:r>
        <w:t>Die Parteivertreterin rügt in formeller Hinsicht eine Verletzung der Begründungspflicht, wirft der Vorinstanz in diesem Zusammenhang aber einzig vor, den rechtserheblichen Sachverhalt unrichtig bzw. unvollständig abgeklärt zu haben. Diese Fragen bilden Gegenstand der nachfolgenden materiell-rechtlichen Prüfung.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Behandlung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5.3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Analoges gilt bei einem Drittstaatsangehörigen oder Staatenlosen, dessen Antrag abgelehnt wurde und der in einem anderen Mitgliedstaat einen Antrag gestellt hat oder der sich im Hoheitsgebiet eines anderen Mitgliedstaats ohne Aufenthaltstitel aufhält (Art. 18 Abs. 1 Bst. d Dublin-III-VO). Die Dublin-III-VO räumt den Schutzsuchenden kein Recht ein, den ihren Antrag prüfenden Staat selber auszuwählen (vgl. BVGE 2010/45 E. 8.3).</w:t>
      </w:r>
    </w:p>
    <w:p>
      <w:r>
        <w:rPr>
          <w:b/>
        </w:rPr>
        <w:t>E. 6.1</w:t>
      </w:r>
    </w:p>
    <w:p>
      <w:r>
        <w:t>Ein Abgleich der Fingerabdrücke der Beschwerdeführenden mit der «Eurodac»-Datenbank ergab, dass sie am 19. März 2015 in Frankreich Asylgesuche gestellt hatten. Das SEM ersuchte die französischen Behörden deshalb am 14. April 2022 um Übernahme der Beschwerdeführenden sowie des jüngsten Kindes (SEM act. 44). Diese stimmten dem Übernahmeersuchen am 28. April 2022 zu. Die Zustimmung stützte sich auf Art. 18 Abs. 1 Bst. d Dublin-III-VO (SEM act. 49) und umfasste ebenfalls die Gesamtfamilie. Die grundsätzliche Zuständigkeit Frankreichs ist somit gegeben. Dies wird auf Beschwerdeebene auch nicht bestritten.</w:t>
      </w:r>
    </w:p>
    <w:p>
      <w:r>
        <w:rPr>
          <w:b/>
        </w:rPr>
        <w:t>E. 6.2</w:t>
      </w:r>
    </w:p>
    <w:p>
      <w:r>
        <w:t>Nachfolgend ist demnach im Lichte von Art. 3 Abs. 2 Dublin-III-VO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7.1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Gemäss konstanter Praxis des Bundesverwaltungsgerichts im Bereich der Wiederaufnahmeverfahren liegen im heutigen Zeitpunkt keine Gründe für die Annahme vor, das Asylverfahren und die Aufnahmebedingungen für Antragstellende in Frankreich wiesen systemische Schwachstellen im Sinne von Art. 3 Abs. 2 Sätze 2 und 3 Dublin-III-VO auf (vgl. hierzu u.a. Urteile BVGer F-2963/2022 vom 19. Juli 2022 E. 6.2, F-2042/2022 vom 20. Mai 2022 E. 6.3, E-1234/2022 vom 23. März 2022 E. 5.3, F-2682/2021 vom 23. Juni 2021 E. 7.2 oder F-2608/2021 vom 9. Juni 2021 E. 5).</w:t>
      </w:r>
    </w:p>
    <w:p>
      <w:r>
        <w:rPr>
          <w:b/>
        </w:rPr>
        <w:t>E. 7.3</w:t>
      </w:r>
    </w:p>
    <w:p>
      <w:r>
        <w:t>Unter diesen Umständen ist die Anwendung von Art. 3 Abs. 2 Dublin-III-VO nicht gerechtfertigt.</w:t>
      </w:r>
    </w:p>
    <w:p>
      <w:r>
        <w:rPr>
          <w:b/>
        </w:rPr>
        <w:t>E. 8.1</w:t>
      </w:r>
    </w:p>
    <w:p>
      <w:r>
        <w:t>Die Beschwerdeführenden fordern in erster Linie die Anwendung der Ermessensklauseln von Art. 17 Abs. 1 Dublin-III-VO und von Art. 29a Abs. 3 der Asylverordnung 1 vom 11. August 1999 (AsylV 1, SR 142.311). In diesem Zusammenhang kritisieren sie die Unterbringungssituation von Asylsuchenden in Frankreich, insbesondere von vulnerablen Personen. Sodann geben sie an, ihr Asylverfahren sei von Frankreich rechtskräftig abgewiesen und ihnen die bisherige Aufenthaltsbewilligung entzogen worden. Deshalb fürchteten sie sich vor einer Ausschaffung nach Angola. Es ist daher zu prüfen, ob aufgrund ihrer persönlichen Situation von einer Überstellung nach Frankreich abzusehen ist, weil sie für die Betroffenen das reelle und naheliegende Risiko einer unmenschlichen oder entwürdigenden Behandlung im Sinne von Art. 4 EU-Grundrechtecharta und Art. 3 EMRK mit sich bringen würde (BVGE 2012/27 E. 6.4; 2010/45 E. 7.4; Urteile des BVGer F-7195/2018 vom 11. Februar 2020 E. 6.6.9; E-3356/2018 vom 27. Juni 2018 E. 4.2; Urteil des EGMR Tarakhel gegen Schweiz vom 4. November 2014, Grosse Kammer 29217/12, § 104; Urteil des EuGH vom 19. März 2019 C-163/17 Jawo Rn. 76 ff.).</w:t>
      </w:r>
    </w:p>
    <w:p>
      <w:r>
        <w:rPr>
          <w:b/>
        </w:rPr>
        <w:t>E. 8.2</w:t>
      </w:r>
    </w:p>
    <w:p>
      <w:r>
        <w:t>Negative Asylentscheide der französischen Behörden bilden genauso wenig ein Überstellungshindernis wie von diesem Land ausgesprochene Wegweisungen. Nach rechtskräftigem Abschluss des Asylverfahrens bleibt Frankreich gemäss Art. 18 Abs. 1 Bst. d Dublin-III-VO bis zu einem allfälligen Wegweisungsvollzug aus dem Dublin-Raum oder einer Regelung des Aufenthaltsstatus zuständig. Es gilt das Prinzip, dass ein Asylgesuch lediglich von einem einzigen Dublin-Mitgliedstaat zu prüfen ist (Art. 3 Abs. 1 Dublin-III-VO; BVGE 2017 VI/5 E. 8.5.3.3). Konkrete Anhaltspunkte dafür, dass die französischen Behörden die Anträge der Beschwerdeführenden auf internationalen Schutz nicht unter Einhaltung der Verfahrensrichtlinie geprüft oder die Asylverfahren mangelhaft durchgeführt hätten, sind nicht ersichtlich. Als unberechtigt erweist sich sodann die Befürchtung, die französischen Behörden könnten sie in Missachtung des Grundsatzes des Non-Refoulement zur Ausreise in ein Land zwingen, in dem ihr Leib, ihr Leben oder ihre Freiheit aus einem Grund nach Art. 3 Abs. 1 AsylG gefährdet ist oder in dem sie Gefahr laufen würden, zur Ausreise in ein solches Land gezwungen zu werden. Anzumerken wäre an dieser Stelle allerdings, dass die Beschwerdeführerin 1 anlässlich des Dublin-Gesprächs einräumte, im Jahre 2017 vorübergehend in ihren Heimatstaat Angola zurückgekehrt zu sein (siehe SEM act. 43). Ansonsten steht es den Beschwerdeführenden frei, nach ihrer Überstellung in Frankreich ein Mehrfach- oder ein Wiedererwägungsgesuch zu stellen (Art. 40 ff. Verfahrensrichtlinie) und sich solcherart um eine erneute Überprüfung der negativen Asyl- und Wegweisungsentscheide bzw. deren Vollzug zu bemühen.</w:t>
      </w:r>
    </w:p>
    <w:p>
      <w:r>
        <w:rPr>
          <w:b/>
        </w:rPr>
        <w:t>E. 8.3</w:t>
      </w:r>
    </w:p>
    <w:p>
      <w:r>
        <w:t>Die Vermutung, Frankreich halte seine völkerrechtlichen Verpflichtungen ein, kann im Einzelfall zwar widerlegt werden. Wie eben erwähnt, bedarf es hierfür aber konkreter und ernsthafter Hinweise. Dies gelingt den Beschwerdeführenden weder mit ihren pauschalen Ausführungen noch den Verweisen auf die nicht einzelfallbezogenen Berichte der SFH und von AIDA. Bei einer allfälligen vorübergehenden Einschränkung können sie sich im Übrigen an die dortigen Behörden wenden und die ihnen zustehenden minimalen Lebensbedingungen auf dem Rechtsweg einfordern (vgl. Art. 26 der Aufnahmerichtlinie). Soweit die Beschwerdeführerin 1 im Dublin-Gespräch vorbrachte, sich vor dem Vater des jüngsten Kindes zu fürchten, steht es ihr frei, sich an die dafür zuständigen französischen Stellen beziehungsweise an die Justiz zu wenden. Frankreich ist ein Rechtstaat und die Behörden sind grundsätzlich gewillt und fähig, staatlichen Schutz zu gewähren. Auf Beschwerdeebene wird aber keine derartige Bedrohung mehr geltend gemacht.</w:t>
      </w:r>
    </w:p>
    <w:p>
      <w:r>
        <w:rPr>
          <w:b/>
        </w:rPr>
        <w:t>E. 8.4</w:t>
      </w:r>
    </w:p>
    <w:p>
      <w:r>
        <w:t>Zu prüfen gilt es des Weiteren, ob eine Überstellung nach Frankreich zu einer Verletzung der Familieneinheit führte oder weiteren völkerrechtlichen Bestimmungen entgegenstünde. Die Vorinstanz hat Frankreich im Übernahmeersuchen vom 14. April 2022, unter Vorlage einer entsprechenden Kopie der Identitätskarte, darüber informiert, dass das jüngste Kind die französische Staatsbürgerschaft besitzt, und auch die Nationalitäten der übrigen Familienmitglieder offengelegt (SEM act. 44). Die französischen Behörden hiessen das Übernahmeersuchen danach explizit für die Beschwerdeführerin 1 und alle ihre fünf Kinder gut, unter Nennung der Namen und der Jahrgänge (SEM act. 49). Die Gefahr einer Trennung im Falle einer Überstellung nach Frankreich besteht aber nur schon deshalb nicht, weil der gleichzeitig gefällte Nichteintretensentscheid betreffend F._______ unter Ziffer 4 den Passus enthält, dass der Wegweisungsvollzug dieses Kindes unter Wahrung der Einheit der Familie und unter Berücksichtigung des Kindeswohls gemeinsam mit den restlichen Familienangehörigen zu erfolgen habe (SEM act. 91). Auch diesbezüglich liegen überdies keine konkreten Anhaltspunkte dafür vor, dass sich Frankreich nicht an seine völkerrechtlichen Verpflichtungen halten werde.</w:t>
      </w:r>
    </w:p>
    <w:p>
      <w:r>
        <w:rPr>
          <w:b/>
        </w:rPr>
        <w:t>E. 8.5</w:t>
      </w:r>
    </w:p>
    <w:p>
      <w:r>
        <w:t>Was schliesslich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8.6</w:t>
      </w:r>
    </w:p>
    <w:p>
      <w:r>
        <w:t>Eine solche Situation liegt aufgrund der aktenkundigen und geschilderten gesundheitlichen Beeinträchtigungen nicht vor. Die Beschwerdeführerin 1 gab anlässlich des Dublin-Gesprächs an, seit der Geburt ihres jüngsten Sohnes an starken Rückenbeschwerden zu leiden. Psychisch präsentiere sich die Situation ebenfalls schwierig. Ausserdem sei sie inzwischen schwanger. Aus der medizinischen Dokumentation geht allerdings einzig hervor, dass ihr am 13. April 2022 eine Creme ausgehändigt wurde und sie der medizinischen Betreuung ihre Schwangerschaft mitteilte. Am 9. Juni 2022 liess sie zudem verlauten, dass sie erst in ein paar Wochen einen Frauenarzttermin möchte (SEM act. 58 und 82). Was die Beschwerdeführerin 4 anbelangt, so geht aus den jeweiligen Verlaufsblättern hervor, dass sie eine Sehschwäche hat, Probleme mit den Zähnen bekundet und an Juckreiz leidet. Die in dieser Hinsicht gebotenen Vorkehren, einschliesslich zahnärztlicher Versorgung, wurden inzwischen getroffen (SEM act. 55-57 und 84). Wegen der im Dublin-Gespräch geltend gemachten psychischen Probleme hat sich die Mutter mit ihrer Tochter derweil nie an die medizinische Betreuung gewandt. Von den anderen Kindern sind, abgesehen von mit Medikamenten behandelten Grippesymptomen, keine nennenswerten gesundheitlichen Beschwerden bekannt (siehe etwa SEM act. 53, 56, 84 und 86). Aufgrund dessen ergibt sich, dass sich die Beschwerdeführenden nicht zwingend in der Schweiz aufhalten müssen, sondern eine adäquate Behandlung der aufgezählten Leiden in Frankreich ebenfalls möglich ist. Dementsprechend gelingt es ihnen nicht, nachzuweisen, dass sie nicht reisefähig seien oder eine Überstellung nach Frankreich sie gesundheitlich ernsthaft gefährden würde. Ihr Gesundheitszustand vermag eine Unzulässigkeit des Wegweisungsvollzugs im Sinne der restriktiven Rechtsprechung nicht zu rechtfertigen.</w:t>
      </w:r>
    </w:p>
    <w:p>
      <w:r>
        <w:rPr>
          <w:b/>
        </w:rPr>
        <w:t>E. 8.7</w:t>
      </w:r>
    </w:p>
    <w:p>
      <w:r>
        <w:t>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ist allgemein bekannt, dass Frankreich über eine ausreichende, auch abgewiesenen Asylsuchenden offenstehende medizinische Infrastruktur verfügt, weshalb sich die Beschwerdeführenden im Bedarfsfall an das dafür zuständige medizinische Fachpersonal wenden können (vgl. etwa F-2963/2022 E. 7.5 oder E-1234/2022 E. 6.7). Festzuhalten ist darüber hinaus, dass die schweizerischen Behörden, die mit dem Vollzug der angefochten Verfügung beauftragt sind, allfällig bestehenden besonderen medizinischen Bedürfnissen bei der Bestimmung der konkreten Modalitäten der Überstellung der Beschwerdeführenden Rechnung tragen und die französischen Behörden vorgängig darüber informieren (vgl. Art. 31 f. Dublin-III-VO). Dies ist vorliegend geschehen, figuriert der Hinweis auf die Schwangerschaft der Beschwerdeführerin 1 doch in der Beschreibung der Überstellungsmodalitäten (SEM act. 90).</w:t>
      </w:r>
    </w:p>
    <w:p>
      <w:r>
        <w:rPr>
          <w:b/>
        </w:rPr>
        <w:t>E. 8.8</w:t>
      </w:r>
    </w:p>
    <w:p>
      <w:r>
        <w:t>Somit bleibt es bei der Zuständigkeit Frankreichs für die Durchführung der Asyl- und Wegweisungsverfahren.</w:t>
      </w:r>
    </w:p>
    <w:p>
      <w:r>
        <w:rPr>
          <w:b/>
        </w:rPr>
        <w:t>E. 9</w:t>
      </w:r>
    </w:p>
    <w:p>
      <w:r>
        <w:t>Der angefochtene Entscheid verletzt weder Art. 3 oder Art. 8 EMRK, noch eine andere, die Schweiz bindende völkerrechtliche Bestimmung. Eine gesetzeswidrige Ermessensausübung der Vorinstanz ist nicht ersichtlich. Demzufolge ist nicht zu beanstanden, dass die Vorinstanz von dem in Art. 17 Abs. 1 Dublin-III-VO und in Art. 29a Abs. 3 AsylV 1 verankerten Selbsteintrittsrecht keinen Gebrauch gemacht hat.</w:t>
      </w:r>
    </w:p>
    <w:p>
      <w:r>
        <w:rPr>
          <w:b/>
        </w:rPr>
        <w:t>E. 10</w:t>
      </w:r>
    </w:p>
    <w:p>
      <w:r>
        <w:t>Das SEM ist demnach zu Recht in Anwendung von Art. 31a Abs. 1 Bst. b AsylG auf die Asylgesuche der Beschwerdeführenden nicht eingetreten. Da sie nicht im Besitz einer gültigen Aufenthalts- oder Niederlassungsbewilligung sind, wurde die Überstellung nach Frankreich in Anwendung von Art. 44 AsylG ebenfalls zu Recht angeordnet (Art. 32 Bst. a AsylV 1).</w:t>
      </w:r>
    </w:p>
    <w:p>
      <w:r>
        <w:rPr>
          <w:b/>
        </w:rPr>
        <w:t>E. 11</w:t>
      </w:r>
    </w:p>
    <w:p>
      <w:r>
        <w:t>Nach dem Gesagten ist die Beschwerde abzuweisen und die Verfügung des SEM zu bestätigen.</w:t>
      </w:r>
    </w:p>
    <w:p>
      <w:r>
        <w:rPr>
          <w:b/>
        </w:rPr>
        <w:t>E. 12</w:t>
      </w:r>
    </w:p>
    <w:p>
      <w:r>
        <w:t>Der am 4. August 2022 angeordnete Vollzugsstopp fällt mit vorliegendem Urteil dahin.</w:t>
      </w:r>
    </w:p>
    <w:p>
      <w:r>
        <w:rPr>
          <w:b/>
        </w:rPr>
        <w:t>E. 13</w:t>
      </w:r>
    </w:p>
    <w:p>
      <w:r>
        <w:t>Das mit der Beschwerde gestellte Gesuch um Gewährung der unentgeltlichen Prozessführung und Verzicht auf die Erhebung eines Kostenvorschusses ist abzuweisen, da die Begehren - wie sich aus den vorstehenden Erwägungen ergibt - als aussichtslos zu bezeichnen sind, weshalb die Voraussetzungen von Art. 65 Abs. 1 VwVG nicht erfüllt sind. Die Verfahrenskosten sind daher den Beschwerdeführenden aufzuerlegen (Art. 63 Abs. 1 VwVG) und auf insgesamt Fr. 750.-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