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F-3337/2019 vom 19. Mai 2020</w:t>
      </w:r>
    </w:p>
    <w:p>
      <w:r>
        <w:t>Bundesverwaltungsgericht, 2020-05-19, DE</w:t>
      </w:r>
    </w:p>
    <w:p>
      <w:r>
        <w:rPr>
          <w:b/>
        </w:rPr>
        <w:t xml:space="preserve">Quelle: </w:t>
      </w:r>
      <w:r>
        <w:t>https://mcp.opencaselaw.ch/entscheid/bvger_F-3337_2019</w:t>
      </w:r>
    </w:p>
    <w:p>
      <w:r>
        <w:t>FR: TAF F-3337/2019 du 19 mai 2020</w:t>
      </w:r>
    </w:p>
    <w:p>
      <w:r>
        <w:t>IT: TAF F-3337/2019 del 19 maggio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als Gastgeber durch die angefochtene Verfügung besonders berührt. Der fest anberaumte Besuchszeitraum ist inzwischen abgelaufen. Durch die Einreichung des Rechtsmittels hat der Beschwerdeführer jedoch kundgetan, dass er sein Interesse an der Behandlung der Beschwerde aufrechterhält. Die Beschwerdelegitimation ist somit gegeben (Art. 48 Abs. 1 VwVG). Auf die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philippinischen Staatsangehörigen um Erteilung eines Visums für einen dreimonatigen Besuchsaufenthalt in der Schweiz zugrunde. Da sich die Verlobte des Beschwerdeführers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Visumspflicht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philippinische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In den Philippinen sind breite Bevölkerungsschichten von vergleichsweise kargen wirtschaftlichen und sozialen Lebensbedingungen betroffen. So besteht zwischen dem Grossraum Manila, der vielerorts den Entwicklungsstand eines Schwellenlandes widerspiegelt, und den wirtschaftlich rückständigen Provinzen, ein Entwicklungsgefälle. Zur tragenden Säule der philippinischen Wirtschaft hat sich in den letzten Jahren der Dienstleistungssektor entwickelt, welcher heute zur Entstehung des Bruttosozialprodukts mehr als die Hälfte beiträgt. Weltweit sind die Philippinen nach Indien mittlerweile die zweitgrösste Outsourcing-Destination. Doch trotz des zeitweilig starken Wirtschaftswachstums ist es der philippinischen Regierung nicht gelungen, die Armut im Lande zu reduzieren. Nach Angaben der Weltbank ist diese in den vergangenen Jahren sogar noch gestiegen. Ein Grund dafür ist das vergleichsweise hohe Bevölkerungswachstum von 1,9 Prozent (ungefähr 2 Millionen Menschen pro Jahr). Die Arbeitslosigkeit bleibt ein drängendes und - angesichts des starken Bevölkerungswachstums - grösser werdendes Problem. Nach Berechnungen der Regierung waren im Mai 2018 10,9 Millionen Filipinos arbeitslos. Jährlich verlassen über eine Million Menschen das Land, um im Ausland Arbeit zu suchen, wobei die Tendenz steigend ist. Um den einheimischen Arbeitsmarkt zu entlasten und Devisen zu erwirtschaften, fördert die Regierung die Entsendung von Gastarbeitern und Gastarbeiterinnen («Overseas Filipinos Workers» [OFWs]). (vgl. dazu und nachfolgend: LIPortal Das Länderinformationsportal, www.liportal.de Philippinen Wirtschaft und Entwicklung, Wirtschaftsentwicklung sowie Armutsbekämpfung, besucht im April 2020).</w:t>
      </w:r>
    </w:p>
    <w:p>
      <w:r>
        <w:rPr>
          <w:b/>
        </w:rPr>
        <w:t>E. 5.3</w:t>
      </w:r>
    </w:p>
    <w:p>
      <w:r>
        <w:t>Vor diesem Hintergrund besteht vielfach der Wunsch nach Auswanderung, welcher sich besonders stark bei jüngeren Personen manifestiert. Dass viele Menschen von den Philippinen emigrieren, zeigt sich ebenfalls an den hohen Rücküberweisungen durch die ca. 11 Millionen OFWs, welche sich laut Statistiken der Philippinischen Zentralbank allein im April 2018 auf 6 Milliarden Dollar beliefen. Ein im Zielland bestehendes minimales Beziehungsnetz aus Verwandten oder Freunden ist zudem ein wichtiges Element, das den Entscheid auszuwandern erleichtern kann. Angesichts der restriktiven Zulassungsregelung führt dies nicht selten zur Umgehung von ausländerrechtlichen Bestimmungen, indem die Gesuchstellenden - einmal eingereist - versuchen, den Aufenthalt auf eine ganz andere rechtliche Basis abzustützen (BVGE 2014/1 E. 6.2.2). Das Risiko einer nicht fristgerechten Wiederausreise der Verlobten des Beschwerdeführers ist demnach grundsätzlich als hoch einzuschätzen.</w:t>
      </w:r>
    </w:p>
    <w:p>
      <w:r>
        <w:rPr>
          <w:b/>
        </w:rPr>
        <w:t>E. 6.1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Beim Gast handelt es sich um eine 27-jährige alleinerziehende Mutter zweier minderjährigen Kinder. Ihr Vater und ihre Geschwister leben ebenfalls auf den Philippinen (SEM-pag. 50). Aus diesen nur knappen Angaben lässt sich zwar eine gewisse soziale Einbindung in ein familiäres Gefüge erblicken. Allerdings ist nicht von einem eigentlichen Abhängigkeitsverhältnis unter Verwandten auszugehen, wenn man vom Verhältnis zu ihren beiden Kindern absieht. Was letzteres anbelangt, so verweist die Vorinstanz zu Recht auf den Umstand, dass in Verhältnissen wie den vorliegenden die Existenz eigener Kinder - zumindest solange intakte Aussichten auf einen späteren Nachzug bestehen - in aller Regel nicht von einem Entschluss zur Emigration abhalten kann.</w:t>
      </w:r>
    </w:p>
    <w:p>
      <w:r>
        <w:rPr>
          <w:b/>
        </w:rPr>
        <w:t>E. 6.3</w:t>
      </w:r>
    </w:p>
    <w:p>
      <w:r>
        <w:t>Damit ist der wirtschaftlichen Situation des Gastes ein besonderes Augenmerk zu widmen. Aus ihrem Visumsantrag geht hervor, dass sie zuerst verneinte, momentan berufstätig zu sein, dann aber angab, einen kleinen Laden zu führen (SEM-pag. 35). Auch der Beschwerdeführer erklärte, sie habe einen kleinen Laden, wo sie auch Mahlzeiten anbiete (vgl. Sachverhalt Bst. E). Seit sie ein Paar seien, erhielten seine Verlobte und deren Kinder von ihm finanzielle Zuwendungen. Zudem habe er auf dem Grundstück ihres Vaters ein Haus für sie bauen lassen (vgl. Sachverhalt Bst. B und D). Es ist mit anderen Worten in wirtschaftlicher Hinsicht von einem erheblichen wirtschaftlichen Abhängigkeitsverhältnis auszugehen. Hingegen kann nicht davon ausgegangen werden, dass die junge Frau über eine massgebliche berufliche Verankerung beziehungsweise über eine gesicherte wirtschaftliche Existenz auf den Philippinen verfügt.</w:t>
      </w:r>
    </w:p>
    <w:p>
      <w:r>
        <w:rPr>
          <w:b/>
        </w:rPr>
        <w:t>E. 6.4</w:t>
      </w:r>
    </w:p>
    <w:p>
      <w:r>
        <w:t>Hinzu kommt, dass die Verlobte des Beschwerdeführers gemäss der bereits erwähnten Aktennotiz der Botschaft (vgl. Sachverhalt Bst. A) im vergangenen Jahr Reisen nach Thailand, Malaysia sowie Hongkong unternommen und ein Schengen-Visum für einen längeren Aufenthalt in Italien beantragt hat (vgl. SEM-pag. 13 f.). Demnach ist der Eindruck, wonach sie einen Aufenthalt ausserhalb der Philippinen in Betracht zieht, nicht von der Hand zu weisen.</w:t>
      </w:r>
    </w:p>
    <w:p>
      <w:r>
        <w:rPr>
          <w:b/>
        </w:rPr>
        <w:t>E. 6.5</w:t>
      </w:r>
    </w:p>
    <w:p>
      <w:r>
        <w:t>Zusammenfassend ergibt sich, dass dem Gast auf den Philippinen keine besonderen beruflichen, familiären oder gesellschaftlichen Verpflichtungen obliegen. Vor dem geschilderten Hintergrund erscheint das Risiko, dass sie die Schweiz nach ihrem Besuchsaufenthalt nicht wieder verlassen könnte, erheblich. Daran vermögen auch die gegenteiligen Zusicherungen des Beschwerdeführers nichts zu ändern. Dieser kann weder Verantwortung für das mögliche Verhalten seines Gastes übernehmen, noch ein solches verlässlich steuern. Angesichts der noch jungen Bekanntschaft, der grossen kulturellen Unterschiede und nicht zuletzt bedingt durch den erheblichen Altersunterschied sind Vorbehalte am Platz, wenn es beim Beschwerdeführer darum geht, mögliche Vorstellungen seiner Verlobten über ihre kurz- oder mittelfristige Lebensplanung abzuschätzen. In seiner Eigenschaft als Gastgeber kann er lediglich für gewisse finanzielle Risiken Garantie leisten (vgl. BVGE 2009/27 E.9). Zu keinem anderen Ergebnis führt der Hinweis des Beschwerdeführers, schon zwischen 2013 und 2018 einen Gast (seine damalige Freundin) vier Mal empfangen zu haben, welche dann jeweils rechtzeitig ausgereist sei. Jedes Einreisegesuch ist nach Massgabe seiner spezifischen Gegebenheiten einzelfallweise zu beurteilen, was in casu auf korrekte Weise geschehen ist (vgl. etwa Urteil des BVGer F-5020/2017 vom 29. Januar 2018 E. 8.4).</w:t>
      </w:r>
    </w:p>
    <w:p>
      <w:r>
        <w:rPr>
          <w:b/>
        </w:rPr>
        <w:t>E. 7</w:t>
      </w:r>
    </w:p>
    <w:p>
      <w:r>
        <w:t>Unter Berücksichtigung der allgemeinen Situation im Heimatland und vor dem dargelegten persönlichen Hintergrund durfte die Vorinstanz davon ausgehen, dass keine hinreichende Gewähr für eine fristgerechte und anstandslose Wiederausreise des Gastes nach ihrem Besuchsaufenthalt besteht. Demnach wurde das Visum für den gesamten Schengen-Raum zu Recht verweigert. Gründe humanitärer oder anderer Art, welche die Erteilung eines Visums mit räumlich beschränkter Gültigkeit gerechtfertigt hätten (vgl. dazu E. 4.5 vorstehend), wurden nicht geltend gemacht.</w:t>
      </w:r>
    </w:p>
    <w:p>
      <w:r>
        <w:rPr>
          <w:b/>
        </w:rPr>
        <w:t>E. 8</w:t>
      </w:r>
    </w:p>
    <w:p>
      <w:r>
        <w:t>Aus den vorstehenden Erwägungen folgt,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