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F-3334/2016 vom 20. Juni 2018</w:t>
      </w:r>
    </w:p>
    <w:p>
      <w:r>
        <w:t>Bundesverwaltungsgericht, 2018-06-20, DE</w:t>
      </w:r>
    </w:p>
    <w:p>
      <w:r>
        <w:rPr>
          <w:b/>
        </w:rPr>
        <w:t xml:space="preserve">Quelle: </w:t>
      </w:r>
      <w:r>
        <w:t>https://mcp.opencaselaw.ch/entscheid/bvger_F-3334_2016</w:t>
      </w:r>
    </w:p>
    <w:p>
      <w:r>
        <w:t>FR: TAF F-3334/2016 du 20 juin 2018</w:t>
      </w:r>
    </w:p>
    <w:p>
      <w:r>
        <w:t>IT: TAF F-3334/2016 del 20 giugno 2018</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Die angefochtene Verfügung erging unter der Herrschaft des Bürgerrechtsgesetzes vom 29. September 1952 (aBüG). Dieser Erlass wurde mit dem am 1. Januar 2018 in Kraft getretenen Bürgerrechtsgesetz vom 20. Juni 2014 (BüG, SR 141.0) aufgehoben (vgl. Art. 49 BüG i.V.m. Ziff. I seines Anhangs). Gemäss der Übergangsbestimmung von Art. 50 BüG richten sich Erwerb und Verlust des Schweizer Bürgerrechts nach dem Recht, das bei Eintritt des massgebenden Tatbestandes in Kraft steht. Die vorliegende Streitsache ist demnach nach dem bisherigen Recht (aBüG) zu beurteilen.</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Die erleichterte Einbürgerung kann mit Zustimmung des Heimatkantons nichtig erklärt werden, wenn sie durch falsche Angaben oder Verheimlichung erheblicher Tatsachen erschlichen (Art. 41 Abs. 1 aBüG), d.h. mit einem unlauteren und täuschenden Verhalten erwirkt wurde. Die Möglichkeit zur Nichtigerklärung geht durch Zeitablauf unter. Art. 41 Abs. 1 aBüG in der Fassung vom 29. September 1952 (AS 1952 1087) statuierte hierfür eine Frist von fünf Jahren ab Einbürgerung. Auf den 1. März 2011 wurde Art. 41 Abs. 1bis aBüG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(siehe Urteil des BVGer C-518/2013 vom 17. März 2015 E. 4.4).</w:t>
      </w:r>
    </w:p>
    <w:p>
      <w:r>
        <w:rPr>
          <w:b/>
        </w:rPr>
        <w:t>E. 5</w:t>
      </w:r>
    </w:p>
    <w:p>
      <w:r>
        <w:t>Im vorliegenden Verfahren hat der Heimatkanton die von Art. 41 Abs. 1 aBüG geforderte Zustimmung erteilt. Demnach ist zu prüfen, ob die Fristen nach 41 Abs. 1bis aBüG gewahrt wurden. Dass der Beschwerdeführer in dieser Hinsicht keine Rügen vorgebracht hat, schadet nicht (vgl. E. 2).</w:t>
      </w:r>
    </w:p>
    <w:p>
      <w:r>
        <w:rPr>
          <w:b/>
        </w:rPr>
        <w:t>E. 5.1</w:t>
      </w:r>
    </w:p>
    <w:p>
      <w:r>
        <w:t>Die Vorinstanz als zuständiges Bundesamt muss bei der Nichtigerklärung der erleichterten Einbürgerung zwei unterschiedliche Fristen beachten. Die relative Frist von zwei Jahren, welche ab Kenntnisnahme eines möglichen Missbrauchsfalles zu laufen beginnt und jeweils durch qualifizierte Untersuchungshandlungen des SEM unterbrochen wird, gibt in casu zu keinerlei Bemerkungen Anlass. Hingegen gilt es zu prüfen, ob auch die absolute Verwirkungsfrist von acht Jahren von der Vorinstanz eingehalten wurde. In seinen früheren Urteilen hat das Bundesverwaltungsgericht - unter Bezugnahme auf das Urteil des Bundesgerichts 5A.3/2002 vom 29. April 2002 E. 3 - das Ausstellungsdatum der Einbürgerungs- respektive der Nichtigerklärungsverfügung für die Fristberechnung für massgebend erachtet mit der Begründung, die Behörde müsse über den gesamten zeitlichen Handlungsspielraum verfügen können, den ihr das Gesetz einräume, weshalb es nicht auf das Eröffnungsdatum ankommen könne (vgl. etwa Urteile C-1192/2006 vom 11. Juni 2009 E. 7 und C-3445/2007 vom 24. August 2010 E. 5). Diese Rechtsprechung hat mit Urteil des Bundesgerichts 1C_336/2010 vom 28. September 2010 eine Änderung erfahren, stellt doch das Bundesgericht seither nicht mehr auf das Ausstellungs-, sondern auf das Zustellungsdatum der entsprechenden Verfügung ab, mit der Begründung, nicht anders als das bei privatrechtlichen, empfangsbedürftigen Willenserklärungen der Fall sei, müsse eine Verfügung innert Frist der betroffenen Person eröffnet werden, um wirksam zu werden. Es obliege deshalb der Behörde, die Verfügung innert der (damals massgebenden) fünfjährigen Verwirkungsfrist nicht nur zu erlassen und zu versenden, sondern diese dem Adressaten auch zuzustellen. Daran ändere nichts, dass die Behörde auf die Zeitspanne zwischen Versand und Zugang der Verfügung je nach den Umständen nur beschränkt Einfluss habe und insoweit deren Handlungsspielraum in zeitlicher Hinsicht beeinflusst werden könne (vgl. auch Urteile des BGer 1C_337/2010 vom 7. Oktober 2010 E. 2, 1C_535/2010 vom 13. Januar 2011 E. 2, 1C_156/2015 vom 15. Juni 2015 E. 2.5 sowie Urteil des BVGer C-1174/2006 vom 8. Dezember 2010 E. 4.1, in denen diese Rechtsprechung bestätigt wurde).</w:t>
      </w:r>
    </w:p>
    <w:p>
      <w:r>
        <w:rPr>
          <w:b/>
        </w:rPr>
        <w:t>E. 5.2</w:t>
      </w:r>
    </w:p>
    <w:p>
      <w:r>
        <w:t>Nach Art. 20 Abs. 1 VwVG beginnt eine mitteilungsbedürftige nach Tagen berechnete Frist an dem auf ihre Mitteilung folgenden Tag zu laufen. Der Tag der Mitteilung der Frist wird somit für die Berechnung des Fristenlaufs nicht berücksichtigt. Ist die Frist nach Monaten oder Jahren bestimmt, endet sie nach der Rechtsprechung an dem Tag, welcher jenem des Beginns des Fristenlaufs entspricht, bei dessen Fehlen am letzten des Monats (vgl. Urteil des BGer 1C_421/2008 vom 15. Dezember 2008 E. 2.2; Egli Patricia, in: Waldmann/Weissenberger [Hrsg.], Praxiskommentar VwVG, 2. Aufl. 2016, N 8 zu Art. 20 Abs. 1 VwVG).</w:t>
      </w:r>
    </w:p>
    <w:p>
      <w:r>
        <w:rPr>
          <w:b/>
        </w:rPr>
        <w:t>E. 5.3</w:t>
      </w:r>
    </w:p>
    <w:p>
      <w:r>
        <w:t>In casu datiert die Einbürgerungsverfügung vom 21. April 2008 (vgl. SEM act. 43, S. 266 und SEM act. 34, S. 218). In welchem Zeitpunkt sie dem Beschwerdeführer zugegangen ist, ist nicht bekannt. Zu seinen Gunsten ist deshalb davon auszugehen, dass sie ihm am Tag darauf, dem 22. April 2008, zuging. Die achtjährige Verwirkungsfrist nach 41 Abs. 1bis aBüG begann demnach am nächstfolgenden Tag, dem 23. April 2008, zu laufen. Da es sich beim letzten Tag der Frist um einen Samstag handelte, endete diese demzufolge nicht am 23. April 2016, sondern am darauffolgenden Montag, dem 25. April 2016 (vgl. Egli Patricia, a.a.O., N 9 und N 58 zu Art. 20 Abs. 3 VwVG). Die Verfügung betreffend Nichtigerklärung der erleichterten Einbürgerung datiert zwar vom 18. April 2016 und gelangte anderntags zur Versendung (SEM act. 43 S. 260), ist dem Beschwerdeführer gemäss Rückschein der Schweizerischen Post jedoch erst am 26. April 2016 zugegangen (SEM act. 44. S. 269; vgl. in diesem Zusammenhang auch Urteil des BGer 2C_284/2014 vom 2. Dezember 2014 E. 4.2). Damit wurde sie erst wirksam, nachdem die Frist zur Nichtigerklärung verwirkt war.</w:t>
      </w:r>
    </w:p>
    <w:p>
      <w:r>
        <w:rPr>
          <w:b/>
        </w:rPr>
        <w:t>E. 6</w:t>
      </w:r>
    </w:p>
    <w:p>
      <w:r>
        <w:t>Aus diesen Erwägungen ergibt sich, dass die Vorinstanz die Fristen gemäss Art. 41 Abs. 1bis aBüG für die Nichtigerklärung der erleichterten Einbürgerung nicht eingehalten hat, womit sich in casu eine materielle Prüfung der Beschwerde erübrigt. Diese ist demnach wegen Verletzung von Bundesrecht (Art. 49 Bst. a VwVG) gutzuheissen, und die Verfügung der Vor-instanz ist aufzuheben.</w:t>
      </w:r>
    </w:p>
    <w:p>
      <w:r>
        <w:rPr>
          <w:b/>
        </w:rPr>
        <w:t>E. 7</w:t>
      </w:r>
    </w:p>
    <w:p>
      <w:r>
        <w:t>Bei diesem Ausgang des Verfahrens sind keine Kosten aufzuerlegen (Art. 63 Abs. 1 und Abs. 2 VwVG). Als obsiegender Partei ist dem durch eine Rechtsanwältin vertretenen Beschwerdeführer für die ihm erwachsenen notwendigen Kosten eine angemessene Parteientschädigung zulasten der Vorinstanz zuzusprechen (Art. 64 Abs. 1 VwVG i.V.m. Art. 7 Abs. 1 des Reglements vom 21. Februar 2008 über die Kosten und Entschädigungen vor dem Bundesverwaltungsgericht [VGKE, SR 173.320.1]). In Berücksichtigung des Umfangs und der Notwendigkeit der Eingaben, der Schwierigkeit der Streitsache in rechtlicher und tatsächlicher Hinsicht, der aktenkundigen Bemühungen sowie der Bandbreite der bislang ausgerichteten Entschädigungen für vergleichbare Fälle ist die Parteientschädigung nach Massgabe der einschlägigen Bestimmungen auf Fr. 2'500.- (inkl. Auslagen und MwSt.) festzusetzen (Art. 8-10 und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