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F-3313/2023 vom 17. Juli 2023</w:t>
      </w:r>
    </w:p>
    <w:p>
      <w:r>
        <w:t>Bundesverwaltungsgericht, 2023-07-17, FR</w:t>
      </w:r>
    </w:p>
    <w:p>
      <w:r>
        <w:rPr>
          <w:b/>
        </w:rPr>
        <w:t xml:space="preserve">Quelle: </w:t>
      </w:r>
      <w:r>
        <w:t>https://mcp.opencaselaw.ch/entscheid/bvger_F-3313_2023</w:t>
      </w:r>
    </w:p>
    <w:p>
      <w:r>
        <w:t>FR: TAF F-3313/2023 du 17 juillet 2023</w:t>
      </w:r>
    </w:p>
    <w:p>
      <w:r>
        <w:t>IT: TAF F-3313/2023 del 17 luglio 2023</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d'interdiction d'entrée prononcées par le SEM, qui constitue une unité de l'administration fédérale au sens de l'art. 33 let. d LTAF, sont susceptibles de recours au Tribunal, lequel statue définitivement en l'occurrence (art. 1 al. 2 LTAF en relation avec l'art. 83 let. c ch. 1 LTF [RS 173.110]).</w:t>
      </w:r>
    </w:p>
    <w:p>
      <w:r>
        <w:rPr>
          <w:b/>
        </w:rPr>
        <w:t>E. 1.3</w:t>
      </w:r>
    </w:p>
    <w:p>
      <w:r>
        <w:t>Le Tribunal est compétent pour statuer sur les demandes de restitution de délai dans les domaines soumis à sa juridiction (en ce sens, cf. notamment arrêt du TAF F-6617/2019 du 7 février 2020 consid. 1.3 et les références citées).</w:t>
      </w:r>
    </w:p>
    <w:p>
      <w:r>
        <w:rPr>
          <w:b/>
        </w:rPr>
        <w:t>E. 1.4</w:t>
      </w:r>
    </w:p>
    <w:p>
      <w:r>
        <w:t>A moins que la LTAF n'en dispose autrement, la procédure devant le Tribunal est régie par la PA (art. 37 LTAF).</w:t>
      </w:r>
    </w:p>
    <w:p>
      <w:r>
        <w:rPr>
          <w:b/>
        </w:rPr>
        <w:t>E. 2.1</w:t>
      </w:r>
    </w:p>
    <w:p>
      <w:r>
        <w:t>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w:t>
      </w:r>
    </w:p>
    <w:p>
      <w:r>
        <w:rPr>
          <w:b/>
        </w:rPr>
        <w:t>E. 2.2</w:t>
      </w:r>
    </w:p>
    <w:p>
      <w:r>
        <w:t>L'empêchement non fautif d'accomplir un acte de procédure correspond non seulement à l'impossibilité objective ou au cas de force majeure, mais cette notion englobe aussi l'impossibilité subjective due à des circonstances personnelles ou à une erreur excusable. La pratique, qui se montre stricte dans l'appréciation de la réalisation de cette condition, exige que le caractère non fautif de l'empêchement allégué apparaisse clairement. En d'autres termes, il y a empêchement d'agir dans le délai lorsqu'aucun reproche ne peut être formulé à l'encontre de la partie ou de son mandataire (cf. arrêt du Tribunal fédéral [ci-après : TF] 6F_28/2018 du 17 octobre 2018 consid. 2 et la jurisprudence citée ; cf. également Patricia Egli, in : Waldmann/Weissenberger [éd.], Praxiskommentar zum VwvG, 2e éd. 2016, art. 24 no 12 ss p. 496 ss). Selon la jurisprudence constante, une restitution de délai n'entre ainsi pas en ligne de compte lorsque la partie ou son mandataire a tardé à agir en raison d'un choix délibéré ou d'une erreur, même légère (cf. arrêt du TF 1C_673/2020, 1C_717/2020 du 30 décembre 2020 consid. 4.2 et les références citées).</w:t>
      </w:r>
    </w:p>
    <w:p>
      <w:r>
        <w:rPr>
          <w:b/>
        </w:rPr>
        <w:t>E. 3</w:t>
      </w:r>
    </w:p>
    <w:p>
      <w:r>
        <w:t>A ce stade, il convient d'examiner si les conditions formelles et matérielles posées à la restitution du délai de recours en application de l'art. 24 al. 1 PA sont réalisées dans le cas particulier.</w:t>
      </w:r>
    </w:p>
    <w:p>
      <w:r>
        <w:rPr>
          <w:b/>
        </w:rPr>
        <w:t>E. 3.1</w:t>
      </w:r>
    </w:p>
    <w:p>
      <w:r>
        <w:t>Le dépôt de la demande de restitution de délai et l'accomplissement de l'acte omis dans les trente jours dès la cessation de l'empêchement constituent des conditions de recevabilité. En l'occurrence, il ressort des pièces du dossier que la recourante a reçu un mail contenant la décision querellée le 11 mai 2023, date à laquelle l'empêchement aurait cessé d'exister (cf. acte du 9 juin 2023, annexe 15). La demande de restitution de délai et le recours ayant été soumis au Tribunal en date du 9 juin 2023, soit moins de 30 jours plus tard, les conditions formelles sont remplies.</w:t>
      </w:r>
    </w:p>
    <w:p>
      <w:r>
        <w:rPr>
          <w:b/>
        </w:rPr>
        <w:t>E. 3.2</w:t>
      </w:r>
    </w:p>
    <w:p>
      <w:r>
        <w:t>Quant au motif d'empêchement invoqué pour justifier la demande de restitution de délai, la recourante a exposé avoir fourni une adresse « formelle » (cf. acte du 9 juin 2023, p. 10), à laquelle elle n'avait pas de logement effectif lors de son contrôle douanier, sans réaliser les implications d'un tel acte. De ce fait, la décision du SEM a été notifiée par le Consulat suisse à une adresse à laquelle l'intéressée ne s'attendait pas, selon ses dires, à recevoir une décision de la part des autorités.</w:t>
      </w:r>
    </w:p>
    <w:p>
      <w:r>
        <w:rPr>
          <w:b/>
        </w:rPr>
        <w:t>E. 3.3</w:t>
      </w:r>
    </w:p>
    <w:p>
      <w:r>
        <w:t>Le Tribunal considère qu'au regard des explications fournies dans la requête du 9 juin 2023 et des pièces fournies à son appui, il apparaît que l'empêchement à la formulation du recours dans le délai légal est entièrement imputable à l'intéressée, qui a fourni une adresse fictive aux autorités compétentes lors de son interpellation à l'aéroport de Zurich. En outre, au vu de la jurisprudence constante et restrictive du Tribunal (cf. supra, consid. 2.2 ; cf. également arrêt du TAF F-6617/2019 précité consid. 2.8) quant aux empêchements susceptibles de justifier une restitution de délai, le comportement de la recourante ne peut, en aucun cas, être considéré comme non fautif. En effet, celle-ci a fourni une adresse à laquelle elle savait prendre le risque de ne pas pouvoir être contactée - ou du moins pas dans un délai raisonnable. Ainsi, elle a fait preuve d'une négligence manifeste en donnant une information erronée aux autorités, ce qui ne peut pas entrer dans la conception d'empêchement non fautif pouvant justifier une restitution de délai. L'intéressée aurait dû prendre des mesures adéquates (en particulier donner sa véritable adresse) afin de s'assurer qu'elle puisse recevoir une quelconque communication après son interpellation à l'aéroport de Zurich. Contrairement aux allégations de A._______, la notification de la décision du SEM à l'adresse qu'elle avait indiquée était dès lors valable et a pleinement déployé ses effets. En conclusion, ayant délibérément fourni une adresse qui n'est pas la sienne, la recourante doit en supporter les conséquences.</w:t>
      </w:r>
    </w:p>
    <w:p>
      <w:r>
        <w:rPr>
          <w:b/>
        </w:rPr>
        <w:t>E. 3.4</w:t>
      </w:r>
    </w:p>
    <w:p>
      <w:r>
        <w:t>Partant, l'argumentation de l'intéressée n'est pas susceptible de justifier une restitution du délai de recours en vertu de l'art. 24 al. 1 PA. Une telle application de cette disposition, conforme à la jurisprudence constante, n'est par ailleurs pas contraire aux art. 29 al. 1 et 29a Cst. (RS 101) ni à l'art. 6 CEDH (RS 0.101), à supposer que cette dernière disposition soit applicable à la présente procédure. La demande de restitution de délai doit dès lors être rejetée.</w:t>
      </w:r>
    </w:p>
    <w:p>
      <w:r>
        <w:rPr>
          <w:b/>
        </w:rPr>
        <w:t>E. 4</w:t>
      </w:r>
    </w:p>
    <w:p>
      <w:r>
        <w:t>Il n'est pas contesté que le recours déposé le 9 juin 2023 contre la décision d'interdiction d'entrée prise par le SEM en date du 20 mars 2023, notifiée le 20 avril 2023, est tardif, dans la mesure où le délai de recours est arrivé à échéance le 22 mai 2023 (art. 20 ss et 50 al. 1 PA). Par conséquent, ledit recours doit être déclaré irrecevable.</w:t>
      </w:r>
    </w:p>
    <w:p>
      <w:r>
        <w:rPr>
          <w:b/>
        </w:rPr>
        <w:t>E. 5</w:t>
      </w:r>
    </w:p>
    <w:p>
      <w:r>
        <w:t>Vu l'issue de la cause, il y a lieu de mettre les frais de procédure à la charge de la recourante (art. 63 al. 1 PA et art. 1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