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F-3310/2023 vom 22. März 2024</w:t>
      </w:r>
    </w:p>
    <w:p>
      <w:r>
        <w:t>Bundesverwaltungsgericht, 2024-03-22, FR</w:t>
      </w:r>
    </w:p>
    <w:p>
      <w:r>
        <w:rPr>
          <w:b/>
        </w:rPr>
        <w:t xml:space="preserve">Quelle: </w:t>
      </w:r>
      <w:r>
        <w:t>https://mcp.opencaselaw.ch/entscheid/bvger_F-3310_2023</w:t>
      </w:r>
    </w:p>
    <w:p>
      <w:r>
        <w:t>FR: TAF F-3310/2023 du 22 mars 2024</w:t>
      </w:r>
    </w:p>
    <w:p>
      <w:r>
        <w:t>IT: TAF F-3310/2023 del 22 marzo 2024</w:t>
      </w:r>
    </w:p>
    <w:p>
      <w:pPr>
        <w:pStyle w:val="Heading2"/>
      </w:pPr>
      <w:r>
        <w:t>Regeste</w:t>
      </w:r>
    </w:p>
    <w:p>
      <w:r>
        <w:t>Visa Schengen</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 recourant a qualité</w:t>
      </w:r>
    </w:p>
    <w:p>
      <w:r>
        <w:t>F-3310/2023 Page 3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le requérant et que la cérémonie initialement prévue le 23 septembre 2022 a été reportée à une date ultérieure (cf. pce TAF 1 p. 3 par. II).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w:t>
      </w:r>
    </w:p>
    <w:p>
      <w:r>
        <w:t>F-3310/2023 Page 4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internes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t>F-3310/2023 Page 5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sri lankais, l’intéressé est soumis à l’obligation de visa, conformément à l’annexe I du règlement (UE) 2018/1806 précité.</w:t>
      </w:r>
    </w:p>
    <w:p>
      <w:r>
        <w:rPr>
          <w:b/>
        </w:rPr>
        <w:t>E. 4.1</w:t>
      </w:r>
    </w:p>
    <w:p>
      <w:r>
        <w:t>Dans la décision querellée, l’autorité a estimé que le départ ponctuel de Suisse (respectivement de l’Espace Schengen) à l’échéance du visa sollicité n’apparaissait pas suffisamment assuré, compte tenu de la situation personnelle de B._______, de la situation socio-économique prévalant au Sri Lanka et de l’insuffisance d’attaches démontrées avec son pays d’origine. Le SEM a également relevé certaines contradictions en lien</w:t>
      </w:r>
    </w:p>
    <w:p>
      <w:r>
        <w:t>F-3310/2023 Page 6 avec l’état civil de l’invité, ses revenus ainsi que les liens qu’il entretenait avec les invitants en Suisse. Sur la base de cet examen, l’autorité inférieure a retenu qu’il ne saurait être exclu que le requérant souhaite prolonger son séjour une fois arrivée dans l’Espace Schengen, dans l’espoir de trouver des conditions d’existence meilleures que celles qu’il connaît dans son pays d’origine.</w:t>
      </w:r>
    </w:p>
    <w:p>
      <w:r>
        <w:rPr>
          <w:b/>
        </w:rPr>
        <w:t>E. 4.2</w:t>
      </w:r>
    </w:p>
    <w:p>
      <w:r>
        <w:t>Le recourant a contesté cette appréciation en faisant valoir que le SEM avait fait preuve d’arbitraire et violé le principe de proportionnalité en refusant l’octroi du visa sollicité. S’agissant des contradictions en lien avec l’état civil du requérant, l’hôte a expliqué que celui-ci était marié au Sri Lanka et que son épouse y travaillait. À l’appui de son allégué, il a expliqué que cette information ne ressortait pas des pièces produites car il était difficile de se procurer des documents officiels au Sri Lanka compte tenu des problèmes récurrents que connaissait le pays. Il s’est toutefois réservé la possibilité de produire ultérieurement les moyens de preuve utiles. Pour ce qui est de la situation patrimoniale de l’invité, le recourant a reproché au SEM de s’être uniquement basé sur la profession de celui-ci sans tenir compte des revenus que ses propriétés lui procuraient et qui lui permettaient de vivre confortablement. Concernant la durée de 90 jours du visa, le recourant a expliqué que si la volonté de participer à la cérémonie funéraire était le point départ de la demande de visa, il n’y avait rien de suspect à vouloir profiter de cette occasion pour faire du tourisme et rendre visite à de la famille en Suisse. Du reste, il s’est déclaré prêt à fournir des garanties financières pour assurer le retour de son invité dans son pays d’origine.</w:t>
      </w:r>
    </w:p>
    <w:p>
      <w:r>
        <w:rPr>
          <w:b/>
        </w:rPr>
        <w:t>E. 5.1</w:t>
      </w:r>
    </w:p>
    <w:p>
      <w:r>
        <w:t>Le Sri Lanka traverse actuellement une grave crise économique et financière, avec des pénuries de biens tels que le carburant, l’électricité, les médicaments et les denrées alimentaires. La détérioration de la situation économique de cet Etat s’est accélérée à partir de 2019 suite à des décisions politiques nuisibles sur le plan économique (p. ex. interdiction abrupte des engrais chimiques) et à une mauvaise gestion financière, et a encore été renforcée par les effets négatifs de la pandémie (cf. &lt; https://www.seco.admin.ch &gt; Economie extérieure et Coopération économique &gt; Relations économiques &gt; Informations par pays &gt; Asie &gt; Asie du Sud &gt; Sri Lanka &gt; Rapport économique 2022-2023 d’octobre 2023, consulté le 7 février 2024). Cela a entraîné des protestations dans tout le pays et des débordements parfois violents et finalement le départ du président Gotabaya Rajapaksa en juillet 2022. Le pays continue de souffrir d’une crise économique et financière et il existe des tensions politiques et</w:t>
      </w:r>
    </w:p>
    <w:p>
      <w:r>
        <w:t>F-3310/2023 Page 7 sociales (cf. www.dfae.admin.ch &gt; Conseils aux voyageurs &amp; représentations &gt; Sri Lanka, dernière mise à jour le 25 octobre 2023, consulté le 08.02.24). La crise économique de 2021 à 2022 a également eu pour conséquence une augmentation du taux de pauvreté de moitié au Sri Lanka, atteignant 25% de la population et devrait encore augmenter selon les projections (cf. Human Rights Watch, World Report 2024 : Sri Lanka – Events of 2023, https://www.hrw.org/world-report/2024/country- chapters/sri-lanka). Selon diverses sources, la crise économique s’avère particulièrement marquée dans le nord du pays, d’où est originaire le requérant (District de (…), cf. pce SEM 4 p. 61). Environ 17% de la population se trouve en situation d’insécurité alimentaire. Selon le rapport détaillé du Programme alimentaire mondial (PAM) et de l’Organisation des Nations unies pour l’alimentation et l’agriculture (FAO), le nord et l’est du pays sont plus touchés par l’insécurité alimentaire que les autres régions du pays et la diminution des revenus est plus importante dans le Nord que dans la moyenne nationale (cf. World Food Program [WFP] / Food and Agriculture Organization [FAO], Special Report : FAO/WFP Crop and Food Security Assessment Mission [CFSAM] to the Democratic Socialist Republic of Sri Lanka, 29.05.2023, https://www.wfp.org/publications/ special-report-faowfp-crop-and-food-security-assessment-mission-cfsam- democratic et article de Human Rights Watch, Sri Lanka : Response to Economic Crisis Undermined Rights du 11.01.2024, https://www.hrw.org/ news/2024/01/11/sri-lanka-response-economic-crisis-undermined-rights, consulté le 18.02.2024). Ainsi, force est de constater que les conditions de vie défavorables que connaît actuellement le Sri Lanka et, en particulier, les disparités considérables existant entre ce pays et la Suisse (ou d’autres Etats de l’Espace Schengen) sur les plans socio-économique et politique ne sont pas sans exercer une forte pression migratoire. De prime abord, on ne saurait donc écarter les craintes de l’autorité intimée de voir le requérant prolonger son séjour en Suisse ou dans l’espace Schengen au-delà de la date d’échéance du visa sollicité.</w:t>
      </w:r>
    </w:p>
    <w:p>
      <w:r>
        <w:rPr>
          <w:b/>
        </w:rPr>
        <w:t>E. 5.2</w:t>
      </w:r>
    </w:p>
    <w:p>
      <w:r>
        <w:t>En ce qui concerne la situation personnelle du requérant, celui-ci est âgé de 33 ans et a indiqué dans sa demande de visa du 8 août 2022 être célibataire, sans enfant, ni charges familiales particulières. À l’appui de sa requête, il a notamment produit un certificat de famille duquel ressort l’identité de ses parents et de ses trois frères ainsi que son acte de naissance et celui de ces derniers (pce SEM 4 p. 23-28 et p. 64-83). Ce n’est toutefois qu’après le refus du visa par la Représentation que le recourant a soutenu dans ses écritures subséquentes que le requérant</w:t>
      </w:r>
    </w:p>
    <w:p>
      <w:r>
        <w:t>F-3310/2023 Page 8 était marié, que son épouse travaillait au Sri Lanka et qu’il produirait des moyens de preuve allant dans ce sens (cf. pce SEM 1 p. 7-8 : opposition du 29 août 2022 et pce TAF 1 : recours du 9 juin 2023). À ce propos, il a ajouté que si le certificat de famille produit ne mentionnait pas le mariage du requérant, cela s’expliquait par le fait que cette pièce était trop ancienne et qu’il était difficile d’obtenir des documents officiels à jour au Sri Lanka (pce TAF 1 p. 5). Cela étant, le Tribunal constate en premier lieu que le recourant – qui est au demeurant représenté par un mandataire professionnel – n’a pas jugé utile à ce jour de verser en cause des pièces probantes en lien avec le prétendu mariage du requérant, alors que tant la motivation de la décision attaquée que celle du préavis auraient dû l’inciter à le faire (cf. pce TAF 7). Par ailleurs, force est de constater que l’explication avancée en lien avec l’ancienneté des pièces produites et l’impossibilité d’obtenir des documents à jour n’emporte pas la conviction du Tribunal, dès lors que les actes de naissance sont datés du 18 juillet 2022 (pce SEM 4 p. 64-83) et le certificat de famille du 25 juillet 2022, autrement dit moins d’un mois avant le dépôt de la demande de visa du 8 août 2022. Dans ces conditions, il n’y a pas lieu de retenir que l’intéressé présente des attaches familiales fortes dans son pays d’origine qui permettraient – en soi – de garantir le retour au pays.</w:t>
      </w:r>
    </w:p>
    <w:p>
      <w:r>
        <w:rPr>
          <w:b/>
        </w:rPr>
        <w:t>E. 5.3</w:t>
      </w:r>
    </w:p>
    <w:p>
      <w:r>
        <w:t>Sur le plan des attaches financières et patrimoniales au Sri Lanka, le requérant a indiqué dans sa demande de visa être conducteur de tractopelle auprès de la société (…) LTD à Colombo alors que, dans son opposition, le recourant a laissé entendre que dite entreprise appartenait au requérant, qu’elle lui apportait « des revenus réguliers importants », et a produit à cet effet une simple carte de visite (pce SEM 1 p. 7 et pce SEM 4 p. 26). Le Tribunal constate toutefois qu’aucun justificatif permettant d’attester de cette activité et des revenus y relatifs, tel qu’un contrat de travail, une fiche de salaire ou un extrait du registre du commerce par exemple, n’a été versé en cause. De plus, l’intéressé a déclaré posséder des terres et plusieurs propriétés dans les districts de (…), (…) et (…) pour une valeur de 15 millions LKR (soit environ CHF 42'300.-, cf. site de conversion de devises Xe : &lt;https://www.xe.com/fr/&gt;), ce qui lui permettait de vivre confortablement. À cet égard, le requérant a produit une déclaration sous serment ainsi qu’une attestation foncière desquelles il ressort que les terres dont il prétend être propriétaire sont enregistrées au nom de sa mère (pce SEM 4, p. 62-63). Ici encore, le Tribunal note qu’aucune information n’a été apportée quant à la manière dont le requérant tirerait des revenus des propriétés en question et l’attestation bancaire faisant état au 6 août 2022 d’un solde positif de LKR</w:t>
      </w:r>
    </w:p>
    <w:p>
      <w:r>
        <w:t>F-3310/2023 Page 9 1’182’430,40, soit environ CHF 3’340.-, ne permet guère d’en apprendre davantage (cf. pce SEM 4 p. 37). Le requérant a également déclaré réaliser un revenu mensuel de LKR 339'000.- (env. CHF 955.-). Or, force est de constater que ce montant ne ressort d’aucune pièce produite au dossier. En effet, le relevé bancaire relatif aux mois de mars à juin 2022 (cf. pce SEM 4 p. 31-36) fait état de plusieurs versements irréguliers, totalisant pour le mois de mars LKR 91'211.07 (env. CHF 257.-), en avril LKR 103'929.35 (env. CHF 293.-), en mai LKR 86'595.60 (env. CHF 244.-) et en juin LKR 958'021.98 (env. CHF 2'700.-). Le Tribunal observe que non seulement les entrées d’argent mensuelles sur le compte du requérant représentent à peine un tiers de ce qu’il a déclaré réaliser mais qu’en outre, plusieurs sommes importantes – dont l’origine n’a été explicitée ni par le recourant ni par le requérant – ont été déposées sur ce compte juste avant le dépôt de la demande de visa. Il ne saurait dès lors être exclu que ces sommes d'argent aient été versées dans le seul but d'étayer dite demande. Les informations ayant été communiquées dans le cadre de la présente procédure pour justifier l’objet et les conditions du séjour envisagé sont donc sujettes à caution. Plaide également en défaveur du requérant le fait qu’il envisage de s’absenter pour une durée de 90 jours de son activité professionnelle (quelle qu’elle soit d’ailleurs). Dans ces circonstances, le dossier ne permet donc pas de conclure que le requérant vit au Sri Lanka dans des conditions économiques favorables ou privilégiées et, en particulier, que sa situation matérielle se trouverait péjorée s’il venait à s’installer durablement en Suisse ou dans l’Espace Schengen à l’échéance de son visa.</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w:t>
      </w:r>
    </w:p>
    <w:p>
      <w:r>
        <w:t>F-3310/2023 Page 10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l’intéressé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vraisemblable.</w:t>
      </w:r>
    </w:p>
    <w:p>
      <w:r>
        <w:rPr>
          <w:b/>
        </w:rPr>
        <w:t>E. 6</w:t>
      </w:r>
    </w:p>
    <w:p>
      <w:r>
        <w:t>Il s’ensuit que, par sa décision du 8 mai 2023, l’autorité intimée n’a ni violé le droit fédéral, ni constaté des faits pertinents de manière inexacte ou incomplète ; en outre, cette décision n’est pas inopportune (art. 49 PA). En conséquence, le recours est rejeté.</w:t>
      </w:r>
    </w:p>
    <w:p>
      <w:r>
        <w:t>F-3310/2023 Page 11</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page suivante)</w:t>
      </w:r>
    </w:p>
    <w:p>
      <w:r>
        <w:t>F-3310/2023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